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CF9F" w14:textId="68266B5C" w:rsidR="00342C2B" w:rsidRPr="00401A96" w:rsidRDefault="00401A96" w:rsidP="00401A96">
      <w:pPr>
        <w:pStyle w:val="NoSpacing"/>
        <w:rPr>
          <w:b/>
          <w:bCs/>
          <w:sz w:val="28"/>
          <w:szCs w:val="28"/>
        </w:rPr>
      </w:pPr>
      <w:bookmarkStart w:id="0" w:name="_Hlk122422682"/>
      <w:r w:rsidRPr="00401A96">
        <w:rPr>
          <w:b/>
          <w:bCs/>
          <w:sz w:val="28"/>
          <w:szCs w:val="28"/>
        </w:rPr>
        <w:t xml:space="preserve">Pre-Service </w:t>
      </w:r>
      <w:r w:rsidR="00342C2B" w:rsidRPr="00401A96">
        <w:rPr>
          <w:b/>
          <w:bCs/>
          <w:sz w:val="28"/>
          <w:szCs w:val="28"/>
        </w:rPr>
        <w:t>Module: Capstone</w:t>
      </w:r>
      <w:r>
        <w:rPr>
          <w:b/>
          <w:bCs/>
          <w:sz w:val="28"/>
          <w:szCs w:val="28"/>
        </w:rPr>
        <w:t xml:space="preserve"> </w:t>
      </w:r>
      <w:r w:rsidR="00342C2B" w:rsidRPr="00401A96">
        <w:rPr>
          <w:b/>
          <w:bCs/>
          <w:sz w:val="28"/>
          <w:szCs w:val="28"/>
        </w:rPr>
        <w:t>-</w:t>
      </w:r>
      <w:r>
        <w:rPr>
          <w:b/>
          <w:bCs/>
          <w:sz w:val="28"/>
          <w:szCs w:val="28"/>
        </w:rPr>
        <w:t xml:space="preserve"> </w:t>
      </w:r>
      <w:r w:rsidR="00342C2B" w:rsidRPr="00401A96">
        <w:rPr>
          <w:b/>
          <w:bCs/>
          <w:sz w:val="28"/>
          <w:szCs w:val="28"/>
        </w:rPr>
        <w:t xml:space="preserve">Guide to the Standards </w:t>
      </w:r>
    </w:p>
    <w:bookmarkEnd w:id="0"/>
    <w:p w14:paraId="68A383A6" w14:textId="77777777" w:rsidR="00342C2B" w:rsidRPr="004E6C6B" w:rsidRDefault="00342C2B" w:rsidP="004E6C6B">
      <w:pPr>
        <w:pStyle w:val="NoSpacing"/>
        <w:rPr>
          <w:sz w:val="24"/>
          <w:szCs w:val="24"/>
        </w:rPr>
      </w:pPr>
    </w:p>
    <w:p w14:paraId="5C28BFAF" w14:textId="77777777" w:rsidR="00401A96" w:rsidRPr="004E6C6B" w:rsidRDefault="00401A96" w:rsidP="00401A96">
      <w:pPr>
        <w:pStyle w:val="NoSpacing"/>
        <w:rPr>
          <w:rFonts w:cstheme="minorHAnsi"/>
          <w:b/>
          <w:bCs/>
          <w:sz w:val="24"/>
          <w:szCs w:val="24"/>
        </w:rPr>
      </w:pPr>
      <w:bookmarkStart w:id="1" w:name="_Hlk121749425"/>
      <w:r w:rsidRPr="004E6C6B">
        <w:rPr>
          <w:rFonts w:cstheme="minorHAnsi"/>
          <w:b/>
          <w:bCs/>
          <w:sz w:val="24"/>
          <w:szCs w:val="24"/>
        </w:rPr>
        <w:t>Section Learning Objectives</w:t>
      </w:r>
    </w:p>
    <w:p w14:paraId="224E900A" w14:textId="55D2F4B1" w:rsidR="00401A96" w:rsidRPr="00AE1B0C" w:rsidRDefault="00401A96" w:rsidP="00401A96">
      <w:pPr>
        <w:pStyle w:val="NoSpacing"/>
        <w:rPr>
          <w:rFonts w:cstheme="minorHAnsi"/>
          <w:sz w:val="24"/>
          <w:szCs w:val="24"/>
        </w:rPr>
      </w:pPr>
      <w:bookmarkStart w:id="2" w:name="_Hlk121146627"/>
      <w:r w:rsidRPr="00AE1B0C">
        <w:rPr>
          <w:rFonts w:cstheme="minorHAnsi"/>
          <w:sz w:val="24"/>
          <w:szCs w:val="24"/>
        </w:rPr>
        <w:t>By the end of</w:t>
      </w:r>
      <w:r w:rsidRPr="00401A96">
        <w:rPr>
          <w:sz w:val="24"/>
          <w:szCs w:val="24"/>
        </w:rPr>
        <w:t xml:space="preserve"> </w:t>
      </w:r>
      <w:r>
        <w:rPr>
          <w:sz w:val="24"/>
          <w:szCs w:val="24"/>
        </w:rPr>
        <w:t>the Capstone-Guide to the Standards Module</w:t>
      </w:r>
      <w:r w:rsidRPr="00AE1B0C">
        <w:rPr>
          <w:rFonts w:cstheme="minorHAnsi"/>
          <w:sz w:val="24"/>
          <w:szCs w:val="24"/>
        </w:rPr>
        <w:t xml:space="preserve">, child welfare professionals will be able to: </w:t>
      </w:r>
    </w:p>
    <w:bookmarkEnd w:id="1"/>
    <w:bookmarkEnd w:id="2"/>
    <w:p w14:paraId="16015438" w14:textId="77777777" w:rsidR="00342C2B" w:rsidRPr="002B542D" w:rsidRDefault="00342C2B" w:rsidP="00342C2B">
      <w:pPr>
        <w:pStyle w:val="NoSpacing"/>
        <w:numPr>
          <w:ilvl w:val="0"/>
          <w:numId w:val="1"/>
        </w:numPr>
        <w:rPr>
          <w:sz w:val="24"/>
          <w:szCs w:val="24"/>
        </w:rPr>
      </w:pPr>
      <w:r w:rsidRPr="002B542D">
        <w:rPr>
          <w:sz w:val="24"/>
          <w:szCs w:val="24"/>
        </w:rPr>
        <w:t>Understand the relationship between the practice standards and the law</w:t>
      </w:r>
    </w:p>
    <w:p w14:paraId="4C08A9E8" w14:textId="77777777" w:rsidR="00342C2B" w:rsidRPr="002B542D" w:rsidRDefault="00342C2B" w:rsidP="00342C2B">
      <w:pPr>
        <w:pStyle w:val="NoSpacing"/>
        <w:numPr>
          <w:ilvl w:val="0"/>
          <w:numId w:val="1"/>
        </w:numPr>
        <w:rPr>
          <w:sz w:val="24"/>
          <w:szCs w:val="24"/>
        </w:rPr>
      </w:pPr>
      <w:r w:rsidRPr="002B542D">
        <w:rPr>
          <w:sz w:val="24"/>
          <w:szCs w:val="24"/>
        </w:rPr>
        <w:t>Understand how the practice standards support consistent practice across the state</w:t>
      </w:r>
    </w:p>
    <w:p w14:paraId="036B00A7" w14:textId="77777777" w:rsidR="00342C2B" w:rsidRPr="002B542D" w:rsidRDefault="00342C2B" w:rsidP="00342C2B">
      <w:pPr>
        <w:pStyle w:val="NoSpacing"/>
        <w:numPr>
          <w:ilvl w:val="0"/>
          <w:numId w:val="1"/>
        </w:numPr>
        <w:rPr>
          <w:sz w:val="24"/>
          <w:szCs w:val="24"/>
        </w:rPr>
      </w:pPr>
      <w:r w:rsidRPr="002B542D">
        <w:rPr>
          <w:sz w:val="24"/>
          <w:szCs w:val="24"/>
        </w:rPr>
        <w:t>Recognize there are consequences for not following the practice standards</w:t>
      </w:r>
    </w:p>
    <w:p w14:paraId="33A68321" w14:textId="77777777" w:rsidR="00342C2B" w:rsidRPr="002B542D" w:rsidRDefault="00342C2B" w:rsidP="00342C2B">
      <w:pPr>
        <w:pStyle w:val="NoSpacing"/>
        <w:rPr>
          <w:sz w:val="24"/>
          <w:szCs w:val="24"/>
        </w:rPr>
      </w:pPr>
    </w:p>
    <w:p w14:paraId="2181A23C" w14:textId="72748F68" w:rsidR="00401A96" w:rsidRPr="004E6C6B" w:rsidRDefault="00401A96" w:rsidP="00401A96">
      <w:pPr>
        <w:spacing w:after="0" w:line="240" w:lineRule="auto"/>
        <w:rPr>
          <w:rFonts w:cstheme="minorHAnsi"/>
          <w:b/>
          <w:bCs/>
          <w:sz w:val="24"/>
          <w:szCs w:val="24"/>
        </w:rPr>
      </w:pPr>
      <w:bookmarkStart w:id="3" w:name="_Hlk121146702"/>
      <w:r w:rsidRPr="004E6C6B">
        <w:rPr>
          <w:rFonts w:cstheme="minorHAnsi"/>
          <w:b/>
          <w:bCs/>
          <w:sz w:val="24"/>
          <w:szCs w:val="24"/>
        </w:rPr>
        <w:t>Section Themes and Key Points</w:t>
      </w:r>
    </w:p>
    <w:p w14:paraId="05399D8F" w14:textId="72748F68" w:rsidR="00401A96" w:rsidRPr="001E5AC3" w:rsidRDefault="00401A96" w:rsidP="001E5AC3">
      <w:pPr>
        <w:pStyle w:val="NoSpacing"/>
        <w:rPr>
          <w:sz w:val="24"/>
          <w:szCs w:val="24"/>
        </w:rPr>
      </w:pPr>
      <w:r w:rsidRPr="001E5AC3">
        <w:rPr>
          <w:sz w:val="24"/>
          <w:szCs w:val="24"/>
        </w:rPr>
        <w:t>Below is a summary of the themes and key points covered in this section. This summary is intended to remind learners of the key learning points addressed and assist supervisors/ coaches in understanding what was covered in order for them to guide and support the application of learning for new child welfare professionals related to this section.</w:t>
      </w:r>
    </w:p>
    <w:bookmarkEnd w:id="3"/>
    <w:p w14:paraId="1D1635E9" w14:textId="77777777" w:rsidR="00342C2B" w:rsidRPr="004874D8" w:rsidRDefault="00342C2B" w:rsidP="00342C2B">
      <w:pPr>
        <w:pStyle w:val="NoSpacing"/>
        <w:rPr>
          <w:sz w:val="24"/>
          <w:szCs w:val="24"/>
        </w:rPr>
      </w:pPr>
    </w:p>
    <w:p w14:paraId="08FA1E68" w14:textId="41F64AD4" w:rsidR="0039789A" w:rsidRDefault="0039789A" w:rsidP="00C044F2">
      <w:pPr>
        <w:pStyle w:val="NoSpacing"/>
        <w:numPr>
          <w:ilvl w:val="0"/>
          <w:numId w:val="19"/>
        </w:numPr>
        <w:ind w:left="360" w:hanging="360"/>
        <w:rPr>
          <w:sz w:val="24"/>
          <w:szCs w:val="24"/>
        </w:rPr>
      </w:pPr>
      <w:r w:rsidRPr="001E5AC3">
        <w:rPr>
          <w:sz w:val="24"/>
          <w:szCs w:val="24"/>
        </w:rPr>
        <w:t xml:space="preserve">This module </w:t>
      </w:r>
      <w:r w:rsidR="00401A96" w:rsidRPr="001E5AC3">
        <w:rPr>
          <w:sz w:val="24"/>
          <w:szCs w:val="24"/>
        </w:rPr>
        <w:t>outlines the child welfare standards specific to the various roles in child welfare.  The goal is to support new child welfare professionals in navigating the</w:t>
      </w:r>
      <w:r w:rsidRPr="001E5AC3">
        <w:rPr>
          <w:sz w:val="24"/>
          <w:szCs w:val="24"/>
        </w:rPr>
        <w:t xml:space="preserve"> standards, explor</w:t>
      </w:r>
      <w:r w:rsidR="00401A96" w:rsidRPr="001E5AC3">
        <w:rPr>
          <w:sz w:val="24"/>
          <w:szCs w:val="24"/>
        </w:rPr>
        <w:t>ing</w:t>
      </w:r>
      <w:r w:rsidRPr="001E5AC3">
        <w:rPr>
          <w:sz w:val="24"/>
          <w:szCs w:val="24"/>
        </w:rPr>
        <w:t xml:space="preserve"> the content, and discover</w:t>
      </w:r>
      <w:r w:rsidR="00401A96" w:rsidRPr="001E5AC3">
        <w:rPr>
          <w:sz w:val="24"/>
          <w:szCs w:val="24"/>
        </w:rPr>
        <w:t>ing</w:t>
      </w:r>
      <w:r w:rsidRPr="001E5AC3">
        <w:rPr>
          <w:sz w:val="24"/>
          <w:szCs w:val="24"/>
        </w:rPr>
        <w:t xml:space="preserve"> how to apply them to child welfare cases. </w:t>
      </w:r>
    </w:p>
    <w:p w14:paraId="41EB6831" w14:textId="77777777" w:rsidR="001A427B" w:rsidRPr="001E5AC3" w:rsidRDefault="001A427B" w:rsidP="001A427B">
      <w:pPr>
        <w:pStyle w:val="NoSpacing"/>
        <w:ind w:left="270"/>
        <w:rPr>
          <w:sz w:val="24"/>
          <w:szCs w:val="24"/>
        </w:rPr>
      </w:pPr>
    </w:p>
    <w:p w14:paraId="7B01F4A8" w14:textId="672BF657" w:rsidR="001E5AC3" w:rsidRPr="001E5AC3" w:rsidRDefault="001E5AC3" w:rsidP="00C044F2">
      <w:pPr>
        <w:pStyle w:val="NoSpacing"/>
        <w:numPr>
          <w:ilvl w:val="0"/>
          <w:numId w:val="19"/>
        </w:numPr>
        <w:ind w:left="360" w:hanging="360"/>
        <w:rPr>
          <w:sz w:val="24"/>
          <w:szCs w:val="24"/>
        </w:rPr>
      </w:pPr>
      <w:r w:rsidRPr="001E5AC3">
        <w:rPr>
          <w:sz w:val="24"/>
          <w:szCs w:val="24"/>
        </w:rPr>
        <w:t>This module reviews the four levels of government that impact child protective services:</w:t>
      </w:r>
    </w:p>
    <w:p w14:paraId="1E060E7E" w14:textId="26B20788" w:rsidR="001E5AC3" w:rsidRPr="00313EB6" w:rsidRDefault="001E5AC3" w:rsidP="001E5AC3">
      <w:pPr>
        <w:pStyle w:val="NoSpacing"/>
        <w:numPr>
          <w:ilvl w:val="1"/>
          <w:numId w:val="11"/>
        </w:numPr>
        <w:rPr>
          <w:b/>
          <w:bCs/>
          <w:sz w:val="24"/>
          <w:szCs w:val="24"/>
        </w:rPr>
      </w:pPr>
      <w:r w:rsidRPr="00313EB6">
        <w:rPr>
          <w:b/>
          <w:bCs/>
          <w:sz w:val="24"/>
          <w:szCs w:val="24"/>
        </w:rPr>
        <w:t>Federal</w:t>
      </w:r>
    </w:p>
    <w:p w14:paraId="16D7B11E" w14:textId="063BD981" w:rsidR="001E5AC3" w:rsidRDefault="00313EB6" w:rsidP="001E5AC3">
      <w:pPr>
        <w:pStyle w:val="NoSpacing"/>
        <w:ind w:left="720"/>
        <w:rPr>
          <w:rFonts w:cstheme="minorHAnsi"/>
          <w:sz w:val="24"/>
          <w:szCs w:val="24"/>
        </w:rPr>
      </w:pPr>
      <w:r>
        <w:rPr>
          <w:rFonts w:cstheme="minorHAnsi"/>
          <w:sz w:val="24"/>
          <w:szCs w:val="24"/>
        </w:rPr>
        <w:t>L</w:t>
      </w:r>
      <w:r w:rsidR="001E5AC3" w:rsidRPr="00313EB6">
        <w:rPr>
          <w:rFonts w:cstheme="minorHAnsi"/>
          <w:sz w:val="24"/>
          <w:szCs w:val="24"/>
        </w:rPr>
        <w:t xml:space="preserve">egislation, federal court decisions, and policies developed by federal agencies </w:t>
      </w:r>
      <w:r>
        <w:rPr>
          <w:rFonts w:cstheme="minorHAnsi"/>
          <w:sz w:val="24"/>
          <w:szCs w:val="24"/>
        </w:rPr>
        <w:t xml:space="preserve">such as </w:t>
      </w:r>
      <w:r w:rsidR="001E5AC3" w:rsidRPr="00313EB6">
        <w:rPr>
          <w:rFonts w:cstheme="minorHAnsi"/>
          <w:sz w:val="24"/>
          <w:szCs w:val="24"/>
        </w:rPr>
        <w:t xml:space="preserve">the Department of Health and Human Services, all have an impact on </w:t>
      </w:r>
      <w:r>
        <w:rPr>
          <w:rFonts w:cstheme="minorHAnsi"/>
          <w:sz w:val="24"/>
          <w:szCs w:val="24"/>
        </w:rPr>
        <w:t>child welfare practice</w:t>
      </w:r>
    </w:p>
    <w:p w14:paraId="4113EBA7" w14:textId="77777777" w:rsidR="006B3DBB" w:rsidRPr="00313EB6" w:rsidRDefault="006B3DBB" w:rsidP="001E5AC3">
      <w:pPr>
        <w:pStyle w:val="NoSpacing"/>
        <w:ind w:left="720"/>
        <w:rPr>
          <w:sz w:val="24"/>
          <w:szCs w:val="24"/>
        </w:rPr>
      </w:pPr>
    </w:p>
    <w:p w14:paraId="27D8B7F1" w14:textId="72DDFE7B" w:rsidR="001E5AC3" w:rsidRPr="00313EB6" w:rsidRDefault="001E5AC3" w:rsidP="001E5AC3">
      <w:pPr>
        <w:pStyle w:val="NoSpacing"/>
        <w:numPr>
          <w:ilvl w:val="1"/>
          <w:numId w:val="11"/>
        </w:numPr>
        <w:rPr>
          <w:b/>
          <w:bCs/>
          <w:sz w:val="24"/>
          <w:szCs w:val="24"/>
        </w:rPr>
      </w:pPr>
      <w:r w:rsidRPr="00313EB6">
        <w:rPr>
          <w:b/>
          <w:bCs/>
          <w:sz w:val="24"/>
          <w:szCs w:val="24"/>
        </w:rPr>
        <w:t>State</w:t>
      </w:r>
    </w:p>
    <w:p w14:paraId="2C49271C" w14:textId="77777777" w:rsidR="006B3DBB" w:rsidRDefault="001E5AC3" w:rsidP="006B3DBB">
      <w:pPr>
        <w:pStyle w:val="NoSpacing"/>
        <w:numPr>
          <w:ilvl w:val="0"/>
          <w:numId w:val="18"/>
        </w:numPr>
        <w:rPr>
          <w:sz w:val="24"/>
          <w:szCs w:val="24"/>
        </w:rPr>
      </w:pPr>
      <w:r w:rsidRPr="00313EB6">
        <w:rPr>
          <w:sz w:val="24"/>
          <w:szCs w:val="24"/>
        </w:rPr>
        <w:t xml:space="preserve">As federal laws affecting child welfare are passed, the Wisconsin legislature enacts related laws, and </w:t>
      </w:r>
      <w:r w:rsidR="001A427B">
        <w:rPr>
          <w:sz w:val="24"/>
          <w:szCs w:val="24"/>
        </w:rPr>
        <w:t>the Department of Children and Families (</w:t>
      </w:r>
      <w:r w:rsidRPr="00313EB6">
        <w:rPr>
          <w:sz w:val="24"/>
          <w:szCs w:val="24"/>
        </w:rPr>
        <w:t>DCF</w:t>
      </w:r>
      <w:r w:rsidR="001A427B">
        <w:rPr>
          <w:sz w:val="24"/>
          <w:szCs w:val="24"/>
        </w:rPr>
        <w:t>)</w:t>
      </w:r>
      <w:r w:rsidRPr="00313EB6">
        <w:rPr>
          <w:sz w:val="24"/>
          <w:szCs w:val="24"/>
        </w:rPr>
        <w:t xml:space="preserve"> develops standards and policies that are in line with the federal legislation. These standards include the child welfare practice standards. </w:t>
      </w:r>
    </w:p>
    <w:p w14:paraId="62115EE2" w14:textId="77777777" w:rsidR="006B3DBB" w:rsidRDefault="001E5AC3" w:rsidP="006B3DBB">
      <w:pPr>
        <w:pStyle w:val="NoSpacing"/>
        <w:numPr>
          <w:ilvl w:val="0"/>
          <w:numId w:val="18"/>
        </w:numPr>
        <w:rPr>
          <w:sz w:val="24"/>
          <w:szCs w:val="24"/>
        </w:rPr>
      </w:pPr>
      <w:r w:rsidRPr="006B3DBB">
        <w:rPr>
          <w:sz w:val="24"/>
          <w:szCs w:val="24"/>
        </w:rPr>
        <w:t>Wisconsin is a county administered, state supervised system, and counties are required to follow the standards set by DCF. While there are variations in the day-to-day operations of each department (for example, some counties will enact more stringent timelines than required by Wisconsin Standards)</w:t>
      </w:r>
      <w:r w:rsidR="001A427B" w:rsidRPr="006B3DBB">
        <w:rPr>
          <w:sz w:val="24"/>
          <w:szCs w:val="24"/>
        </w:rPr>
        <w:t xml:space="preserve">, </w:t>
      </w:r>
      <w:r w:rsidRPr="006B3DBB">
        <w:rPr>
          <w:sz w:val="24"/>
          <w:szCs w:val="24"/>
        </w:rPr>
        <w:t xml:space="preserve">all counties must at least meet the requirements set in standards.  </w:t>
      </w:r>
    </w:p>
    <w:p w14:paraId="5A5EE9CA" w14:textId="77777777" w:rsidR="006B3DBB" w:rsidRDefault="001A427B" w:rsidP="006B3DBB">
      <w:pPr>
        <w:pStyle w:val="NoSpacing"/>
        <w:numPr>
          <w:ilvl w:val="0"/>
          <w:numId w:val="18"/>
        </w:numPr>
        <w:rPr>
          <w:sz w:val="24"/>
          <w:szCs w:val="24"/>
        </w:rPr>
      </w:pPr>
      <w:r w:rsidRPr="006B3DBB">
        <w:rPr>
          <w:sz w:val="24"/>
          <w:szCs w:val="24"/>
        </w:rPr>
        <w:t>T</w:t>
      </w:r>
      <w:r w:rsidR="001E5AC3" w:rsidRPr="006B3DBB">
        <w:rPr>
          <w:sz w:val="24"/>
          <w:szCs w:val="24"/>
        </w:rPr>
        <w:t xml:space="preserve">he </w:t>
      </w:r>
      <w:bookmarkStart w:id="4" w:name="_Hlk122423358"/>
      <w:r w:rsidR="001E5AC3" w:rsidRPr="006B3DBB">
        <w:rPr>
          <w:sz w:val="24"/>
          <w:szCs w:val="24"/>
        </w:rPr>
        <w:t xml:space="preserve">mandatory minimum </w:t>
      </w:r>
      <w:r w:rsidRPr="006B3DBB">
        <w:rPr>
          <w:sz w:val="24"/>
          <w:szCs w:val="24"/>
        </w:rPr>
        <w:t>s</w:t>
      </w:r>
      <w:r w:rsidR="001E5AC3" w:rsidRPr="006B3DBB">
        <w:rPr>
          <w:sz w:val="24"/>
          <w:szCs w:val="24"/>
        </w:rPr>
        <w:t xml:space="preserve">tandards </w:t>
      </w:r>
      <w:bookmarkEnd w:id="4"/>
      <w:r w:rsidR="001E5AC3" w:rsidRPr="006B3DBB">
        <w:rPr>
          <w:sz w:val="24"/>
          <w:szCs w:val="24"/>
        </w:rPr>
        <w:t xml:space="preserve">that must be </w:t>
      </w:r>
      <w:r w:rsidRPr="006B3DBB">
        <w:rPr>
          <w:sz w:val="24"/>
          <w:szCs w:val="24"/>
        </w:rPr>
        <w:t>met</w:t>
      </w:r>
      <w:r w:rsidR="001E5AC3" w:rsidRPr="006B3DBB">
        <w:rPr>
          <w:sz w:val="24"/>
          <w:szCs w:val="24"/>
        </w:rPr>
        <w:t xml:space="preserve"> by agencies and </w:t>
      </w:r>
      <w:r w:rsidRPr="006B3DBB">
        <w:rPr>
          <w:sz w:val="24"/>
          <w:szCs w:val="24"/>
        </w:rPr>
        <w:t>child welfare professionals</w:t>
      </w:r>
      <w:r w:rsidR="001E5AC3" w:rsidRPr="006B3DBB">
        <w:rPr>
          <w:sz w:val="24"/>
          <w:szCs w:val="24"/>
        </w:rPr>
        <w:t xml:space="preserve"> working with families</w:t>
      </w:r>
      <w:r w:rsidRPr="006B3DBB">
        <w:rPr>
          <w:sz w:val="24"/>
          <w:szCs w:val="24"/>
        </w:rPr>
        <w:t xml:space="preserve"> are inside boxes in the standards</w:t>
      </w:r>
      <w:r w:rsidR="001E5AC3" w:rsidRPr="006B3DBB">
        <w:rPr>
          <w:sz w:val="24"/>
          <w:szCs w:val="24"/>
        </w:rPr>
        <w:t>. Information outside of boxes often further directs or clarifies the Standard information and provides best practice.</w:t>
      </w:r>
    </w:p>
    <w:p w14:paraId="4978B004" w14:textId="73F0078F" w:rsidR="001E5AC3" w:rsidRPr="006B3DBB" w:rsidRDefault="001E5AC3" w:rsidP="006B3DBB">
      <w:pPr>
        <w:pStyle w:val="NoSpacing"/>
        <w:numPr>
          <w:ilvl w:val="0"/>
          <w:numId w:val="18"/>
        </w:numPr>
        <w:rPr>
          <w:sz w:val="24"/>
          <w:szCs w:val="24"/>
        </w:rPr>
      </w:pPr>
      <w:r w:rsidRPr="006B3DBB">
        <w:rPr>
          <w:sz w:val="24"/>
          <w:szCs w:val="24"/>
        </w:rPr>
        <w:t xml:space="preserve">Wisconsin Statutes, Chapter 48, called the “Children’s Code,” directly defines the responsibilities of: The Department of Children and Families; the courts; county human or social service departments; and </w:t>
      </w:r>
      <w:r w:rsidR="001A427B" w:rsidRPr="006B3DBB">
        <w:rPr>
          <w:sz w:val="24"/>
          <w:szCs w:val="24"/>
        </w:rPr>
        <w:t>the</w:t>
      </w:r>
      <w:r w:rsidRPr="006B3DBB">
        <w:rPr>
          <w:sz w:val="24"/>
          <w:szCs w:val="24"/>
        </w:rPr>
        <w:t xml:space="preserve"> specific responsibilities </w:t>
      </w:r>
      <w:r w:rsidR="001A427B" w:rsidRPr="006B3DBB">
        <w:rPr>
          <w:sz w:val="24"/>
          <w:szCs w:val="24"/>
        </w:rPr>
        <w:t xml:space="preserve">of </w:t>
      </w:r>
      <w:r w:rsidRPr="006B3DBB">
        <w:rPr>
          <w:sz w:val="24"/>
          <w:szCs w:val="24"/>
        </w:rPr>
        <w:t xml:space="preserve">child protective services </w:t>
      </w:r>
      <w:r w:rsidR="001A427B" w:rsidRPr="006B3DBB">
        <w:rPr>
          <w:sz w:val="24"/>
          <w:szCs w:val="24"/>
        </w:rPr>
        <w:t>professionals</w:t>
      </w:r>
      <w:r w:rsidRPr="006B3DBB">
        <w:rPr>
          <w:sz w:val="24"/>
          <w:szCs w:val="24"/>
        </w:rPr>
        <w:t>.</w:t>
      </w:r>
    </w:p>
    <w:p w14:paraId="4D6B7684" w14:textId="6427779A" w:rsidR="001E5AC3" w:rsidRPr="00313EB6" w:rsidRDefault="001E5AC3" w:rsidP="001E5AC3">
      <w:pPr>
        <w:pStyle w:val="NoSpacing"/>
        <w:numPr>
          <w:ilvl w:val="1"/>
          <w:numId w:val="11"/>
        </w:numPr>
        <w:rPr>
          <w:b/>
          <w:bCs/>
          <w:sz w:val="24"/>
          <w:szCs w:val="24"/>
        </w:rPr>
      </w:pPr>
      <w:r w:rsidRPr="00313EB6">
        <w:rPr>
          <w:b/>
          <w:bCs/>
          <w:sz w:val="24"/>
          <w:szCs w:val="24"/>
        </w:rPr>
        <w:lastRenderedPageBreak/>
        <w:t>Native American Tribes</w:t>
      </w:r>
    </w:p>
    <w:p w14:paraId="5924390B" w14:textId="34442B94" w:rsidR="001E5AC3" w:rsidRDefault="001E5AC3" w:rsidP="001E5AC3">
      <w:pPr>
        <w:pStyle w:val="NoSpacing"/>
        <w:ind w:left="720"/>
        <w:rPr>
          <w:rFonts w:cstheme="minorHAnsi"/>
          <w:sz w:val="24"/>
          <w:szCs w:val="24"/>
        </w:rPr>
      </w:pPr>
      <w:r w:rsidRPr="00313EB6">
        <w:rPr>
          <w:rFonts w:cstheme="minorHAnsi"/>
          <w:sz w:val="24"/>
          <w:szCs w:val="24"/>
        </w:rPr>
        <w:t xml:space="preserve">As sovereign nations, Tribes are not subject to the Wisconsin CPS standards. Counties must follow the state standards when working with all children and families, including tribal children and families. The CPS standards </w:t>
      </w:r>
      <w:r w:rsidR="001A427B">
        <w:rPr>
          <w:rFonts w:cstheme="minorHAnsi"/>
          <w:sz w:val="24"/>
          <w:szCs w:val="24"/>
        </w:rPr>
        <w:t>do</w:t>
      </w:r>
      <w:r w:rsidRPr="00313EB6">
        <w:rPr>
          <w:rFonts w:cstheme="minorHAnsi"/>
          <w:sz w:val="24"/>
          <w:szCs w:val="24"/>
        </w:rPr>
        <w:t xml:space="preserve"> include language regarding ICWA and WICWA compliance when working with tribal children and families. DCF consults with tribes when developing and updating applicable CPS standards and policies</w:t>
      </w:r>
      <w:r w:rsidR="001A427B">
        <w:rPr>
          <w:rFonts w:cstheme="minorHAnsi"/>
          <w:sz w:val="24"/>
          <w:szCs w:val="24"/>
        </w:rPr>
        <w:t>.</w:t>
      </w:r>
    </w:p>
    <w:p w14:paraId="3648924D" w14:textId="77777777" w:rsidR="006B3DBB" w:rsidRPr="00313EB6" w:rsidRDefault="006B3DBB" w:rsidP="001E5AC3">
      <w:pPr>
        <w:pStyle w:val="NoSpacing"/>
        <w:ind w:left="720"/>
        <w:rPr>
          <w:sz w:val="24"/>
          <w:szCs w:val="24"/>
        </w:rPr>
      </w:pPr>
    </w:p>
    <w:p w14:paraId="43BD467C" w14:textId="05BFB5E7" w:rsidR="001E5AC3" w:rsidRPr="00313EB6" w:rsidRDefault="001E5AC3" w:rsidP="001E5AC3">
      <w:pPr>
        <w:pStyle w:val="NoSpacing"/>
        <w:numPr>
          <w:ilvl w:val="1"/>
          <w:numId w:val="11"/>
        </w:numPr>
        <w:rPr>
          <w:b/>
          <w:bCs/>
          <w:sz w:val="24"/>
          <w:szCs w:val="24"/>
        </w:rPr>
      </w:pPr>
      <w:r w:rsidRPr="00313EB6">
        <w:rPr>
          <w:b/>
          <w:bCs/>
          <w:sz w:val="24"/>
          <w:szCs w:val="24"/>
        </w:rPr>
        <w:t>County</w:t>
      </w:r>
    </w:p>
    <w:p w14:paraId="3883CEB7" w14:textId="763AA1E7" w:rsidR="0039789A" w:rsidRPr="00313EB6" w:rsidRDefault="001E5AC3" w:rsidP="001E5AC3">
      <w:pPr>
        <w:pStyle w:val="NoSpacing"/>
        <w:ind w:left="720"/>
        <w:rPr>
          <w:rFonts w:cstheme="minorHAnsi"/>
          <w:sz w:val="24"/>
          <w:szCs w:val="24"/>
        </w:rPr>
      </w:pPr>
      <w:r w:rsidRPr="00313EB6">
        <w:rPr>
          <w:rFonts w:cstheme="minorHAnsi"/>
          <w:sz w:val="24"/>
          <w:szCs w:val="24"/>
        </w:rPr>
        <w:t>Chapter 48 is the statu</w:t>
      </w:r>
      <w:r w:rsidR="00AE5FD3">
        <w:rPr>
          <w:rFonts w:cstheme="minorHAnsi"/>
          <w:sz w:val="24"/>
          <w:szCs w:val="24"/>
        </w:rPr>
        <w:t>t</w:t>
      </w:r>
      <w:r w:rsidRPr="00313EB6">
        <w:rPr>
          <w:rFonts w:cstheme="minorHAnsi"/>
          <w:sz w:val="24"/>
          <w:szCs w:val="24"/>
        </w:rPr>
        <w:t xml:space="preserve">e that gives county agencies and </w:t>
      </w:r>
      <w:r w:rsidR="001A427B">
        <w:rPr>
          <w:rFonts w:cstheme="minorHAnsi"/>
          <w:sz w:val="24"/>
          <w:szCs w:val="24"/>
        </w:rPr>
        <w:t>child welfare professionals</w:t>
      </w:r>
      <w:r w:rsidRPr="00313EB6">
        <w:rPr>
          <w:rFonts w:cstheme="minorHAnsi"/>
          <w:sz w:val="24"/>
          <w:szCs w:val="24"/>
        </w:rPr>
        <w:t xml:space="preserve"> the authority to </w:t>
      </w:r>
      <w:r w:rsidR="001A427B" w:rsidRPr="00313EB6">
        <w:rPr>
          <w:rFonts w:cstheme="minorHAnsi"/>
          <w:sz w:val="24"/>
          <w:szCs w:val="24"/>
        </w:rPr>
        <w:t>assess</w:t>
      </w:r>
      <w:r w:rsidRPr="00313EB6">
        <w:rPr>
          <w:rFonts w:cstheme="minorHAnsi"/>
          <w:sz w:val="24"/>
          <w:szCs w:val="24"/>
        </w:rPr>
        <w:t xml:space="preserve"> safety, remove children from unsafe homes and determine safety and permanency for them. </w:t>
      </w:r>
    </w:p>
    <w:p w14:paraId="191B0813" w14:textId="77777777" w:rsidR="00C044F2" w:rsidRDefault="00C044F2" w:rsidP="00C044F2">
      <w:pPr>
        <w:pStyle w:val="NoSpacing"/>
        <w:rPr>
          <w:rFonts w:cstheme="minorHAnsi"/>
          <w:sz w:val="24"/>
          <w:szCs w:val="24"/>
        </w:rPr>
      </w:pPr>
    </w:p>
    <w:p w14:paraId="52A2CD96" w14:textId="1B2A11AF" w:rsidR="00C044F2" w:rsidRPr="00741693" w:rsidRDefault="00C044F2" w:rsidP="00C044F2">
      <w:pPr>
        <w:pStyle w:val="NoSpacing"/>
        <w:numPr>
          <w:ilvl w:val="0"/>
          <w:numId w:val="19"/>
        </w:numPr>
        <w:ind w:left="360" w:hanging="360"/>
        <w:rPr>
          <w:rFonts w:eastAsia="Times New Roman"/>
          <w:sz w:val="24"/>
          <w:szCs w:val="24"/>
        </w:rPr>
      </w:pPr>
      <w:r>
        <w:rPr>
          <w:rFonts w:cstheme="minorHAnsi"/>
          <w:sz w:val="24"/>
          <w:szCs w:val="24"/>
        </w:rPr>
        <w:t>This module has si</w:t>
      </w:r>
      <w:r>
        <w:rPr>
          <w:rFonts w:eastAsia="Times New Roman"/>
          <w:sz w:val="24"/>
          <w:szCs w:val="24"/>
        </w:rPr>
        <w:t>xteen</w:t>
      </w:r>
      <w:r w:rsidRPr="00741693">
        <w:rPr>
          <w:rFonts w:eastAsia="Times New Roman"/>
          <w:sz w:val="24"/>
          <w:szCs w:val="24"/>
        </w:rPr>
        <w:t xml:space="preserve"> scenario-based questions </w:t>
      </w:r>
      <w:r>
        <w:rPr>
          <w:rFonts w:eastAsia="Times New Roman"/>
          <w:sz w:val="24"/>
          <w:szCs w:val="24"/>
        </w:rPr>
        <w:t xml:space="preserve">that </w:t>
      </w:r>
      <w:r w:rsidRPr="00741693">
        <w:rPr>
          <w:rFonts w:eastAsia="Times New Roman"/>
          <w:sz w:val="24"/>
          <w:szCs w:val="24"/>
        </w:rPr>
        <w:t xml:space="preserve">require </w:t>
      </w:r>
      <w:r>
        <w:rPr>
          <w:rFonts w:eastAsia="Times New Roman"/>
          <w:sz w:val="24"/>
          <w:szCs w:val="24"/>
        </w:rPr>
        <w:t xml:space="preserve">learners </w:t>
      </w:r>
      <w:r w:rsidRPr="00741693">
        <w:rPr>
          <w:rFonts w:eastAsia="Times New Roman"/>
          <w:sz w:val="24"/>
          <w:szCs w:val="24"/>
        </w:rPr>
        <w:t xml:space="preserve">to search in the standards for answers to typical situations in the field.  This reinforces the desired practice of </w:t>
      </w:r>
      <w:r>
        <w:rPr>
          <w:rFonts w:eastAsia="Times New Roman"/>
          <w:sz w:val="24"/>
          <w:szCs w:val="24"/>
        </w:rPr>
        <w:t>child welfare professionals</w:t>
      </w:r>
      <w:r w:rsidRPr="00741693">
        <w:rPr>
          <w:rFonts w:eastAsia="Times New Roman"/>
          <w:sz w:val="24"/>
          <w:szCs w:val="24"/>
        </w:rPr>
        <w:t xml:space="preserve"> to seek guidance from the standards to answer their questions and support decision making.</w:t>
      </w:r>
    </w:p>
    <w:p w14:paraId="2E9CDBA3" w14:textId="77777777" w:rsidR="00C044F2" w:rsidRDefault="00C044F2" w:rsidP="00C044F2">
      <w:pPr>
        <w:pStyle w:val="NoSpacing"/>
        <w:rPr>
          <w:rFonts w:cstheme="minorHAnsi"/>
          <w:sz w:val="24"/>
          <w:szCs w:val="24"/>
        </w:rPr>
      </w:pPr>
    </w:p>
    <w:p w14:paraId="77515EB4" w14:textId="77777777" w:rsidR="00C044F2" w:rsidRDefault="00C044F2" w:rsidP="0039789A">
      <w:pPr>
        <w:pStyle w:val="NoSpacing"/>
        <w:rPr>
          <w:rFonts w:cstheme="minorHAnsi"/>
          <w:sz w:val="24"/>
          <w:szCs w:val="24"/>
        </w:rPr>
      </w:pPr>
    </w:p>
    <w:p w14:paraId="05C59781" w14:textId="66B445C2" w:rsidR="001A427B" w:rsidRDefault="00C044F2" w:rsidP="001A427B">
      <w:pPr>
        <w:pStyle w:val="NoSpacing"/>
      </w:pPr>
      <w:bookmarkStart w:id="5" w:name="_Hlk121745312"/>
      <w:bookmarkStart w:id="6" w:name="_Hlk121756518"/>
      <w:r w:rsidRPr="00EA5A58">
        <w:rPr>
          <w:b/>
          <w:bCs/>
          <w:sz w:val="24"/>
          <w:szCs w:val="24"/>
        </w:rPr>
        <w:t>On-the-Job Application Activities</w:t>
      </w:r>
    </w:p>
    <w:p w14:paraId="0851EE48" w14:textId="04DD5CD3" w:rsidR="001A427B" w:rsidRPr="00741693" w:rsidRDefault="001A427B" w:rsidP="001A427B">
      <w:pPr>
        <w:pStyle w:val="NoSpacing"/>
        <w:rPr>
          <w:sz w:val="24"/>
          <w:szCs w:val="24"/>
        </w:rPr>
      </w:pPr>
      <w:bookmarkStart w:id="7" w:name="_Hlk121739980"/>
      <w:r w:rsidRPr="00741693">
        <w:rPr>
          <w:sz w:val="24"/>
          <w:szCs w:val="24"/>
        </w:rPr>
        <w:t>Listed in this section is an optional t</w:t>
      </w:r>
      <w:r w:rsidRPr="00741693">
        <w:rPr>
          <w:sz w:val="24"/>
          <w:szCs w:val="24"/>
          <w:shd w:val="clear" w:color="auto" w:fill="FFFFFF"/>
        </w:rPr>
        <w:t xml:space="preserve">ransfer of training activity to support the learner in applying the knowledge </w:t>
      </w:r>
      <w:r w:rsidRPr="00741693">
        <w:rPr>
          <w:sz w:val="24"/>
          <w:szCs w:val="24"/>
        </w:rPr>
        <w:t xml:space="preserve">acquired during the </w:t>
      </w:r>
      <w:r w:rsidR="00741693" w:rsidRPr="00741693">
        <w:rPr>
          <w:sz w:val="24"/>
          <w:szCs w:val="24"/>
        </w:rPr>
        <w:t>Capstone</w:t>
      </w:r>
      <w:r w:rsidR="00C044F2">
        <w:rPr>
          <w:sz w:val="24"/>
          <w:szCs w:val="24"/>
        </w:rPr>
        <w:t>:</w:t>
      </w:r>
      <w:r w:rsidR="00741693" w:rsidRPr="00741693">
        <w:rPr>
          <w:sz w:val="24"/>
          <w:szCs w:val="24"/>
        </w:rPr>
        <w:t xml:space="preserve"> Guide to the Standards Pre-Service module</w:t>
      </w:r>
      <w:r w:rsidR="00741693">
        <w:rPr>
          <w:sz w:val="24"/>
          <w:szCs w:val="24"/>
        </w:rPr>
        <w:t xml:space="preserve"> </w:t>
      </w:r>
      <w:r w:rsidRPr="00741693">
        <w:rPr>
          <w:sz w:val="24"/>
          <w:szCs w:val="24"/>
          <w:shd w:val="clear" w:color="auto" w:fill="FFFFFF"/>
        </w:rPr>
        <w:t>to their CPS roles and responsibilities.</w:t>
      </w:r>
    </w:p>
    <w:p w14:paraId="53623F36" w14:textId="77777777" w:rsidR="00741693" w:rsidRDefault="00741693" w:rsidP="001A427B">
      <w:pPr>
        <w:pStyle w:val="NoSpacing"/>
        <w:rPr>
          <w:sz w:val="24"/>
          <w:szCs w:val="24"/>
          <w:shd w:val="clear" w:color="auto" w:fill="FFFFFF"/>
        </w:rPr>
      </w:pPr>
    </w:p>
    <w:p w14:paraId="4A2EFF65" w14:textId="56986FD5" w:rsidR="001A427B" w:rsidRPr="006E3061" w:rsidRDefault="00741693" w:rsidP="001A427B">
      <w:pPr>
        <w:pStyle w:val="NoSpacing"/>
        <w:rPr>
          <w:sz w:val="24"/>
          <w:szCs w:val="24"/>
          <w:shd w:val="clear" w:color="auto" w:fill="FFFFFF"/>
        </w:rPr>
      </w:pPr>
      <w:r>
        <w:rPr>
          <w:sz w:val="24"/>
          <w:szCs w:val="24"/>
          <w:shd w:val="clear" w:color="auto" w:fill="FFFFFF"/>
        </w:rPr>
        <w:t>This</w:t>
      </w:r>
      <w:r w:rsidR="001A427B" w:rsidRPr="006E3061">
        <w:rPr>
          <w:sz w:val="24"/>
          <w:szCs w:val="24"/>
          <w:shd w:val="clear" w:color="auto" w:fill="FFFFFF"/>
        </w:rPr>
        <w:t xml:space="preserve"> activit</w:t>
      </w:r>
      <w:r>
        <w:rPr>
          <w:sz w:val="24"/>
          <w:szCs w:val="24"/>
          <w:shd w:val="clear" w:color="auto" w:fill="FFFFFF"/>
        </w:rPr>
        <w:t>y is</w:t>
      </w:r>
      <w:r w:rsidR="001A427B" w:rsidRPr="006E3061">
        <w:rPr>
          <w:sz w:val="24"/>
          <w:szCs w:val="24"/>
          <w:shd w:val="clear" w:color="auto" w:fill="FFFFFF"/>
        </w:rPr>
        <w:t xml:space="preserve"> optional and </w:t>
      </w:r>
      <w:r>
        <w:rPr>
          <w:sz w:val="24"/>
          <w:szCs w:val="24"/>
          <w:shd w:val="clear" w:color="auto" w:fill="FFFFFF"/>
        </w:rPr>
        <w:t>is</w:t>
      </w:r>
      <w:r w:rsidR="001A427B" w:rsidRPr="006E3061">
        <w:rPr>
          <w:sz w:val="24"/>
          <w:szCs w:val="24"/>
          <w:shd w:val="clear" w:color="auto" w:fill="FFFFFF"/>
        </w:rPr>
        <w:t xml:space="preserve"> provided only to aid the child welfare professional and supervisor/coach in supporting transfer of learning from pre-service to the agency. The child welfare professional, with input from their supervisor/coach, may choose to complete </w:t>
      </w:r>
      <w:r w:rsidR="00C044F2">
        <w:rPr>
          <w:sz w:val="24"/>
          <w:szCs w:val="24"/>
          <w:shd w:val="clear" w:color="auto" w:fill="FFFFFF"/>
        </w:rPr>
        <w:t>the</w:t>
      </w:r>
      <w:r w:rsidR="001A427B" w:rsidRPr="006E3061">
        <w:rPr>
          <w:sz w:val="24"/>
          <w:szCs w:val="24"/>
          <w:shd w:val="clear" w:color="auto" w:fill="FFFFFF"/>
        </w:rPr>
        <w:t xml:space="preserve"> activit</w:t>
      </w:r>
      <w:r w:rsidR="00C044F2">
        <w:rPr>
          <w:sz w:val="24"/>
          <w:szCs w:val="24"/>
          <w:shd w:val="clear" w:color="auto" w:fill="FFFFFF"/>
        </w:rPr>
        <w:t>y</w:t>
      </w:r>
      <w:r w:rsidR="001A427B" w:rsidRPr="006E3061">
        <w:rPr>
          <w:sz w:val="24"/>
          <w:szCs w:val="24"/>
          <w:shd w:val="clear" w:color="auto" w:fill="FFFFFF"/>
        </w:rPr>
        <w:t xml:space="preserve"> or substitute in other activities. </w:t>
      </w:r>
    </w:p>
    <w:bookmarkEnd w:id="5"/>
    <w:p w14:paraId="0808AB39" w14:textId="77777777" w:rsidR="001A427B" w:rsidRPr="006E3061" w:rsidRDefault="001A427B" w:rsidP="001A427B">
      <w:pPr>
        <w:pStyle w:val="NoSpacing"/>
        <w:rPr>
          <w:sz w:val="24"/>
          <w:szCs w:val="24"/>
          <w:shd w:val="clear" w:color="auto" w:fill="FFFFFF"/>
        </w:rPr>
      </w:pPr>
    </w:p>
    <w:p w14:paraId="5B93B26E" w14:textId="65B49493" w:rsidR="00204E36" w:rsidRPr="00741693" w:rsidRDefault="00741693" w:rsidP="00C044F2">
      <w:pPr>
        <w:pStyle w:val="NoSpacing"/>
        <w:ind w:firstLine="360"/>
        <w:rPr>
          <w:b/>
          <w:bCs/>
          <w:sz w:val="24"/>
          <w:szCs w:val="24"/>
          <w:u w:val="single"/>
        </w:rPr>
      </w:pPr>
      <w:bookmarkStart w:id="8" w:name="_Hlk122423159"/>
      <w:bookmarkEnd w:id="6"/>
      <w:bookmarkEnd w:id="7"/>
      <w:r w:rsidRPr="00741693">
        <w:rPr>
          <w:b/>
          <w:bCs/>
          <w:sz w:val="24"/>
          <w:szCs w:val="24"/>
          <w:u w:val="single"/>
        </w:rPr>
        <w:t>Option 1: Scenario-Based Questions Related to the Standards Activity</w:t>
      </w:r>
    </w:p>
    <w:bookmarkEnd w:id="8"/>
    <w:p w14:paraId="1F251FEF" w14:textId="78FC3937" w:rsidR="00741693" w:rsidRPr="00741693" w:rsidRDefault="003E0659" w:rsidP="00741693">
      <w:pPr>
        <w:pStyle w:val="NoSpacing"/>
        <w:numPr>
          <w:ilvl w:val="0"/>
          <w:numId w:val="15"/>
        </w:numPr>
        <w:rPr>
          <w:sz w:val="24"/>
          <w:szCs w:val="24"/>
        </w:rPr>
      </w:pPr>
      <w:r>
        <w:rPr>
          <w:sz w:val="24"/>
          <w:szCs w:val="24"/>
        </w:rPr>
        <w:t>To support you as you are</w:t>
      </w:r>
      <w:r w:rsidR="00C044F2">
        <w:rPr>
          <w:sz w:val="24"/>
          <w:szCs w:val="24"/>
        </w:rPr>
        <w:t xml:space="preserve"> answe</w:t>
      </w:r>
      <w:r>
        <w:rPr>
          <w:sz w:val="24"/>
          <w:szCs w:val="24"/>
        </w:rPr>
        <w:t>ring</w:t>
      </w:r>
      <w:r w:rsidR="00C044F2">
        <w:rPr>
          <w:sz w:val="24"/>
          <w:szCs w:val="24"/>
        </w:rPr>
        <w:t xml:space="preserve"> </w:t>
      </w:r>
      <w:r w:rsidR="00741693" w:rsidRPr="00741693">
        <w:rPr>
          <w:sz w:val="24"/>
          <w:szCs w:val="24"/>
        </w:rPr>
        <w:t xml:space="preserve">the 16 </w:t>
      </w:r>
      <w:bookmarkStart w:id="9" w:name="_Hlk122423236"/>
      <w:r w:rsidR="00741693" w:rsidRPr="00741693">
        <w:rPr>
          <w:sz w:val="24"/>
          <w:szCs w:val="24"/>
        </w:rPr>
        <w:t xml:space="preserve">Scenario-Based Questions in </w:t>
      </w:r>
      <w:r w:rsidR="004E6C6B">
        <w:rPr>
          <w:sz w:val="24"/>
          <w:szCs w:val="24"/>
        </w:rPr>
        <w:t>the</w:t>
      </w:r>
      <w:r w:rsidR="00741693" w:rsidRPr="00741693">
        <w:rPr>
          <w:sz w:val="24"/>
          <w:szCs w:val="24"/>
        </w:rPr>
        <w:t xml:space="preserve"> Pre-Service Capstone module</w:t>
      </w:r>
      <w:r w:rsidR="00C044F2">
        <w:rPr>
          <w:sz w:val="24"/>
          <w:szCs w:val="24"/>
        </w:rPr>
        <w:t>, make sure you have a print copy of the following Standards available</w:t>
      </w:r>
      <w:r w:rsidR="00741693" w:rsidRPr="00741693">
        <w:rPr>
          <w:sz w:val="24"/>
          <w:szCs w:val="24"/>
        </w:rPr>
        <w:t>:</w:t>
      </w:r>
    </w:p>
    <w:p w14:paraId="2A01F833" w14:textId="2F33A708" w:rsidR="00741693" w:rsidRPr="00741693" w:rsidRDefault="00741693" w:rsidP="00717919">
      <w:pPr>
        <w:pStyle w:val="NoSpacing"/>
        <w:numPr>
          <w:ilvl w:val="0"/>
          <w:numId w:val="20"/>
        </w:numPr>
        <w:ind w:left="1440"/>
        <w:rPr>
          <w:sz w:val="24"/>
          <w:szCs w:val="24"/>
        </w:rPr>
      </w:pPr>
      <w:r w:rsidRPr="00741693">
        <w:rPr>
          <w:sz w:val="24"/>
          <w:szCs w:val="24"/>
        </w:rPr>
        <w:t>The Safety Intervention Standards</w:t>
      </w:r>
    </w:p>
    <w:p w14:paraId="289B87FB" w14:textId="38FCBBDA" w:rsidR="00741693" w:rsidRPr="00741693" w:rsidRDefault="00741693" w:rsidP="00717919">
      <w:pPr>
        <w:pStyle w:val="NoSpacing"/>
        <w:numPr>
          <w:ilvl w:val="0"/>
          <w:numId w:val="20"/>
        </w:numPr>
        <w:ind w:left="1440"/>
        <w:rPr>
          <w:sz w:val="24"/>
          <w:szCs w:val="24"/>
        </w:rPr>
      </w:pPr>
      <w:r w:rsidRPr="00741693">
        <w:rPr>
          <w:sz w:val="24"/>
          <w:szCs w:val="24"/>
        </w:rPr>
        <w:t>The Access and Initial Assessment Standards</w:t>
      </w:r>
    </w:p>
    <w:p w14:paraId="71BC7EA6" w14:textId="630CF122" w:rsidR="00741693" w:rsidRPr="00741693" w:rsidRDefault="00741693" w:rsidP="00717919">
      <w:pPr>
        <w:pStyle w:val="NoSpacing"/>
        <w:numPr>
          <w:ilvl w:val="0"/>
          <w:numId w:val="20"/>
        </w:numPr>
        <w:ind w:left="1440"/>
        <w:rPr>
          <w:sz w:val="24"/>
          <w:szCs w:val="24"/>
        </w:rPr>
      </w:pPr>
      <w:r w:rsidRPr="00741693">
        <w:rPr>
          <w:sz w:val="24"/>
          <w:szCs w:val="24"/>
        </w:rPr>
        <w:t>The Ongoing Service</w:t>
      </w:r>
      <w:r w:rsidR="00AE5FD3">
        <w:rPr>
          <w:sz w:val="24"/>
          <w:szCs w:val="24"/>
        </w:rPr>
        <w:t>s</w:t>
      </w:r>
      <w:r w:rsidRPr="00741693">
        <w:rPr>
          <w:sz w:val="24"/>
          <w:szCs w:val="24"/>
        </w:rPr>
        <w:t xml:space="preserve"> Standards </w:t>
      </w:r>
    </w:p>
    <w:p w14:paraId="78EE05DD" w14:textId="256212F1" w:rsidR="00C044F2" w:rsidRDefault="00C044F2" w:rsidP="00C044F2">
      <w:pPr>
        <w:pStyle w:val="NoSpacing"/>
        <w:numPr>
          <w:ilvl w:val="0"/>
          <w:numId w:val="15"/>
        </w:numPr>
        <w:rPr>
          <w:sz w:val="24"/>
          <w:szCs w:val="24"/>
        </w:rPr>
      </w:pPr>
      <w:r>
        <w:rPr>
          <w:sz w:val="24"/>
          <w:szCs w:val="24"/>
        </w:rPr>
        <w:t xml:space="preserve">Capture any questions that you have </w:t>
      </w:r>
      <w:r w:rsidR="00717919">
        <w:rPr>
          <w:sz w:val="24"/>
          <w:szCs w:val="24"/>
        </w:rPr>
        <w:t xml:space="preserve">in the space on the next page </w:t>
      </w:r>
      <w:r>
        <w:rPr>
          <w:sz w:val="24"/>
          <w:szCs w:val="24"/>
        </w:rPr>
        <w:t>as you are completing the Navigation Activity</w:t>
      </w:r>
      <w:r w:rsidR="005205C9">
        <w:rPr>
          <w:sz w:val="24"/>
          <w:szCs w:val="24"/>
        </w:rPr>
        <w:t>.</w:t>
      </w:r>
    </w:p>
    <w:p w14:paraId="4CEF7255" w14:textId="3E7D6E49" w:rsidR="00741693" w:rsidRDefault="00741693" w:rsidP="00C044F2">
      <w:pPr>
        <w:pStyle w:val="NoSpacing"/>
        <w:numPr>
          <w:ilvl w:val="0"/>
          <w:numId w:val="15"/>
        </w:numPr>
        <w:rPr>
          <w:sz w:val="24"/>
          <w:szCs w:val="24"/>
        </w:rPr>
      </w:pPr>
      <w:r>
        <w:rPr>
          <w:sz w:val="24"/>
          <w:szCs w:val="24"/>
        </w:rPr>
        <w:t>Review</w:t>
      </w:r>
      <w:r w:rsidR="00717919">
        <w:rPr>
          <w:sz w:val="24"/>
          <w:szCs w:val="24"/>
        </w:rPr>
        <w:t xml:space="preserve"> and</w:t>
      </w:r>
      <w:r w:rsidR="004E6C6B">
        <w:rPr>
          <w:sz w:val="24"/>
          <w:szCs w:val="24"/>
        </w:rPr>
        <w:t xml:space="preserve"> discuss </w:t>
      </w:r>
      <w:r w:rsidR="00717919">
        <w:rPr>
          <w:sz w:val="24"/>
          <w:szCs w:val="24"/>
        </w:rPr>
        <w:t>your questions</w:t>
      </w:r>
      <w:r>
        <w:rPr>
          <w:sz w:val="24"/>
          <w:szCs w:val="24"/>
        </w:rPr>
        <w:t xml:space="preserve"> with your supervisor or coach</w:t>
      </w:r>
      <w:r w:rsidR="005205C9">
        <w:rPr>
          <w:sz w:val="24"/>
          <w:szCs w:val="24"/>
        </w:rPr>
        <w:t>.</w:t>
      </w:r>
    </w:p>
    <w:p w14:paraId="07F648F7" w14:textId="77777777" w:rsidR="004E6C6B" w:rsidRPr="00741693" w:rsidRDefault="004E6C6B" w:rsidP="004E6C6B">
      <w:pPr>
        <w:pStyle w:val="NoSpacing"/>
        <w:ind w:firstLine="720"/>
        <w:rPr>
          <w:sz w:val="24"/>
          <w:szCs w:val="24"/>
        </w:rPr>
      </w:pPr>
    </w:p>
    <w:bookmarkEnd w:id="9"/>
    <w:p w14:paraId="4D94E715" w14:textId="1254B1A7" w:rsidR="00507C42" w:rsidRDefault="00507C42">
      <w:pPr>
        <w:rPr>
          <w:rFonts w:cstheme="minorHAnsi"/>
          <w:sz w:val="24"/>
          <w:szCs w:val="24"/>
        </w:rPr>
      </w:pPr>
      <w:r>
        <w:rPr>
          <w:rFonts w:cstheme="minorHAnsi"/>
          <w:sz w:val="24"/>
          <w:szCs w:val="24"/>
        </w:rPr>
        <w:br w:type="page"/>
      </w:r>
    </w:p>
    <w:p w14:paraId="5630080B" w14:textId="77777777" w:rsidR="00741693" w:rsidRDefault="00741693" w:rsidP="00741693">
      <w:pPr>
        <w:pStyle w:val="NoSpacing"/>
        <w:rPr>
          <w:rFonts w:cstheme="minorHAnsi"/>
          <w:sz w:val="24"/>
          <w:szCs w:val="24"/>
        </w:rPr>
      </w:pPr>
    </w:p>
    <w:tbl>
      <w:tblPr>
        <w:tblStyle w:val="TableGrid"/>
        <w:tblW w:w="9535" w:type="dxa"/>
        <w:tblLook w:val="04A0" w:firstRow="1" w:lastRow="0" w:firstColumn="1" w:lastColumn="0" w:noHBand="0" w:noVBand="1"/>
      </w:tblPr>
      <w:tblGrid>
        <w:gridCol w:w="9535"/>
      </w:tblGrid>
      <w:tr w:rsidR="00507C42" w:rsidRPr="002B0EC1" w14:paraId="3465F55C" w14:textId="77777777" w:rsidTr="00507C42">
        <w:tc>
          <w:tcPr>
            <w:tcW w:w="9535" w:type="dxa"/>
          </w:tcPr>
          <w:p w14:paraId="54835F78" w14:textId="498531B7" w:rsidR="00507C42" w:rsidRDefault="00507C42" w:rsidP="00915D2E">
            <w:pPr>
              <w:rPr>
                <w:rFonts w:eastAsia="Times New Roman" w:cstheme="minorHAnsi"/>
                <w:b/>
                <w:bCs/>
                <w:color w:val="000000"/>
                <w:sz w:val="24"/>
                <w:szCs w:val="24"/>
              </w:rPr>
            </w:pPr>
            <w:r>
              <w:rPr>
                <w:rFonts w:eastAsia="Times New Roman" w:cstheme="minorHAnsi"/>
                <w:b/>
                <w:bCs/>
                <w:color w:val="000000"/>
                <w:sz w:val="24"/>
                <w:szCs w:val="24"/>
              </w:rPr>
              <w:t>Questions to discuss with supervisor/coach</w:t>
            </w:r>
          </w:p>
          <w:p w14:paraId="15D11D10" w14:textId="77777777" w:rsidR="00507C42" w:rsidRPr="002B0EC1" w:rsidRDefault="00507C42" w:rsidP="00915D2E">
            <w:pPr>
              <w:rPr>
                <w:rFonts w:eastAsia="Times New Roman" w:cstheme="minorHAnsi"/>
                <w:b/>
                <w:bCs/>
                <w:color w:val="000000"/>
                <w:sz w:val="24"/>
                <w:szCs w:val="24"/>
              </w:rPr>
            </w:pPr>
          </w:p>
          <w:p w14:paraId="4EF25763" w14:textId="77777777" w:rsidR="00507C42" w:rsidRPr="002B0EC1" w:rsidRDefault="00507C42" w:rsidP="00915D2E">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bookmarkStart w:id="10" w:name="Text1"/>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bookmarkEnd w:id="10"/>
          </w:p>
          <w:p w14:paraId="420F44CF" w14:textId="77777777" w:rsidR="00507C42" w:rsidRPr="002B0EC1" w:rsidRDefault="00507C42" w:rsidP="00915D2E">
            <w:pPr>
              <w:rPr>
                <w:rFonts w:eastAsia="Times New Roman" w:cstheme="minorHAnsi"/>
                <w:b/>
                <w:bCs/>
                <w:color w:val="000000"/>
                <w:sz w:val="24"/>
                <w:szCs w:val="24"/>
              </w:rPr>
            </w:pPr>
          </w:p>
          <w:p w14:paraId="5ECF9CDA" w14:textId="77777777" w:rsidR="00507C42" w:rsidRPr="002B0EC1" w:rsidRDefault="00507C42" w:rsidP="00915D2E">
            <w:pPr>
              <w:rPr>
                <w:rFonts w:eastAsia="Times New Roman" w:cstheme="minorHAnsi"/>
                <w:b/>
                <w:bCs/>
                <w:color w:val="000000"/>
                <w:sz w:val="24"/>
                <w:szCs w:val="24"/>
              </w:rPr>
            </w:pPr>
          </w:p>
          <w:p w14:paraId="5DC1475D" w14:textId="77777777" w:rsidR="00507C42" w:rsidRPr="002B0EC1" w:rsidRDefault="00507C42" w:rsidP="00915D2E">
            <w:pPr>
              <w:rPr>
                <w:rFonts w:cstheme="minorHAnsi"/>
                <w:sz w:val="24"/>
                <w:szCs w:val="24"/>
              </w:rPr>
            </w:pPr>
          </w:p>
        </w:tc>
      </w:tr>
    </w:tbl>
    <w:p w14:paraId="01DB48C5" w14:textId="77777777" w:rsidR="00717919" w:rsidRDefault="00717919" w:rsidP="00741693">
      <w:pPr>
        <w:pStyle w:val="NoSpacing"/>
        <w:rPr>
          <w:rFonts w:cstheme="minorHAnsi"/>
          <w:sz w:val="24"/>
          <w:szCs w:val="24"/>
        </w:rPr>
      </w:pPr>
    </w:p>
    <w:p w14:paraId="3EF1A05D" w14:textId="4F9F36A8" w:rsidR="00354FD2" w:rsidRPr="00C044F2" w:rsidRDefault="00354FD2" w:rsidP="00C044F2">
      <w:pPr>
        <w:pStyle w:val="NoSpacing"/>
        <w:rPr>
          <w:rFonts w:cstheme="minorHAnsi"/>
          <w:sz w:val="24"/>
          <w:szCs w:val="24"/>
        </w:rPr>
      </w:pPr>
    </w:p>
    <w:sectPr w:rsidR="00354FD2" w:rsidRPr="00C044F2" w:rsidSect="00C86ED9">
      <w:foot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F74C" w14:textId="77777777" w:rsidR="00757D95" w:rsidRDefault="00757D95" w:rsidP="00A53C21">
      <w:pPr>
        <w:spacing w:after="0" w:line="240" w:lineRule="auto"/>
      </w:pPr>
      <w:r>
        <w:separator/>
      </w:r>
    </w:p>
  </w:endnote>
  <w:endnote w:type="continuationSeparator" w:id="0">
    <w:p w14:paraId="693C7F76" w14:textId="77777777" w:rsidR="00757D95" w:rsidRDefault="00757D95" w:rsidP="00A5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370A" w14:textId="3DF0664B" w:rsidR="00A53C21" w:rsidRDefault="00A53C21">
    <w:pPr>
      <w:pStyle w:val="Footer"/>
      <w:jc w:val="right"/>
    </w:pPr>
  </w:p>
  <w:p w14:paraId="4A91277C" w14:textId="6A9AEC35" w:rsidR="00C86ED9" w:rsidRPr="00C86ED9" w:rsidRDefault="00C86ED9" w:rsidP="00C86ED9">
    <w:pPr>
      <w:tabs>
        <w:tab w:val="center" w:pos="4680"/>
        <w:tab w:val="right" w:pos="9360"/>
      </w:tabs>
      <w:spacing w:after="0" w:line="240" w:lineRule="auto"/>
    </w:pPr>
    <w:r w:rsidRPr="00C86ED9">
      <w:t xml:space="preserve">Pre-Service </w:t>
    </w:r>
    <w:r w:rsidRPr="00C86ED9">
      <w:rPr>
        <w:rFonts w:cstheme="minorHAnsi"/>
        <w:bCs/>
      </w:rPr>
      <w:t xml:space="preserve">Module: </w:t>
    </w:r>
    <w:r>
      <w:rPr>
        <w:rFonts w:cstheme="minorHAnsi"/>
        <w:bCs/>
      </w:rPr>
      <w:t>Capstone – Guide to Standards</w:t>
    </w:r>
    <w:r>
      <w:rPr>
        <w:rFonts w:cstheme="minorHAnsi"/>
        <w:bCs/>
      </w:rPr>
      <w:tab/>
    </w:r>
    <w:r w:rsidRPr="00C86ED9">
      <w:tab/>
      <w:t xml:space="preserve">Page </w:t>
    </w:r>
    <w:r w:rsidRPr="00C86ED9">
      <w:rPr>
        <w:b/>
        <w:bCs/>
        <w:sz w:val="24"/>
        <w:szCs w:val="24"/>
      </w:rPr>
      <w:fldChar w:fldCharType="begin"/>
    </w:r>
    <w:r w:rsidRPr="00C86ED9">
      <w:rPr>
        <w:b/>
        <w:bCs/>
      </w:rPr>
      <w:instrText xml:space="preserve"> PAGE </w:instrText>
    </w:r>
    <w:r w:rsidRPr="00C86ED9">
      <w:rPr>
        <w:b/>
        <w:bCs/>
        <w:sz w:val="24"/>
        <w:szCs w:val="24"/>
      </w:rPr>
      <w:fldChar w:fldCharType="separate"/>
    </w:r>
    <w:r w:rsidRPr="00C86ED9">
      <w:rPr>
        <w:rFonts w:eastAsiaTheme="minorHAnsi"/>
        <w:b/>
        <w:bCs/>
        <w:sz w:val="24"/>
        <w:szCs w:val="24"/>
      </w:rPr>
      <w:t>1</w:t>
    </w:r>
    <w:r w:rsidRPr="00C86ED9">
      <w:rPr>
        <w:b/>
        <w:bCs/>
        <w:sz w:val="24"/>
        <w:szCs w:val="24"/>
      </w:rPr>
      <w:fldChar w:fldCharType="end"/>
    </w:r>
    <w:r w:rsidRPr="00C86ED9">
      <w:t xml:space="preserve"> of </w:t>
    </w:r>
    <w:r w:rsidRPr="00C86ED9">
      <w:rPr>
        <w:b/>
        <w:bCs/>
        <w:sz w:val="24"/>
        <w:szCs w:val="24"/>
      </w:rPr>
      <w:fldChar w:fldCharType="begin"/>
    </w:r>
    <w:r w:rsidRPr="00C86ED9">
      <w:rPr>
        <w:b/>
        <w:bCs/>
      </w:rPr>
      <w:instrText xml:space="preserve"> NUMPAGES  </w:instrText>
    </w:r>
    <w:r w:rsidRPr="00C86ED9">
      <w:rPr>
        <w:b/>
        <w:bCs/>
        <w:sz w:val="24"/>
        <w:szCs w:val="24"/>
      </w:rPr>
      <w:fldChar w:fldCharType="separate"/>
    </w:r>
    <w:r w:rsidRPr="00C86ED9">
      <w:rPr>
        <w:rFonts w:eastAsiaTheme="minorHAnsi"/>
        <w:b/>
        <w:bCs/>
        <w:sz w:val="24"/>
        <w:szCs w:val="24"/>
      </w:rPr>
      <w:t>3</w:t>
    </w:r>
    <w:r w:rsidRPr="00C86ED9">
      <w:rPr>
        <w:b/>
        <w:bCs/>
        <w:sz w:val="24"/>
        <w:szCs w:val="24"/>
      </w:rPr>
      <w:fldChar w:fldCharType="end"/>
    </w:r>
  </w:p>
  <w:p w14:paraId="59B11BE0" w14:textId="77777777" w:rsidR="00A53C21" w:rsidRDefault="00A53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DEC1" w14:textId="77777777" w:rsidR="00757D95" w:rsidRDefault="00757D95" w:rsidP="00A53C21">
      <w:pPr>
        <w:spacing w:after="0" w:line="240" w:lineRule="auto"/>
      </w:pPr>
      <w:r>
        <w:separator/>
      </w:r>
    </w:p>
  </w:footnote>
  <w:footnote w:type="continuationSeparator" w:id="0">
    <w:p w14:paraId="42C5EA2E" w14:textId="77777777" w:rsidR="00757D95" w:rsidRDefault="00757D95" w:rsidP="00A53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16C"/>
    <w:multiLevelType w:val="hybridMultilevel"/>
    <w:tmpl w:val="0CEC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554B"/>
    <w:multiLevelType w:val="hybridMultilevel"/>
    <w:tmpl w:val="ED9A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9050A"/>
    <w:multiLevelType w:val="hybridMultilevel"/>
    <w:tmpl w:val="CF9EA02C"/>
    <w:lvl w:ilvl="0" w:tplc="D700C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001C8"/>
    <w:multiLevelType w:val="hybridMultilevel"/>
    <w:tmpl w:val="02DA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47E38"/>
    <w:multiLevelType w:val="hybridMultilevel"/>
    <w:tmpl w:val="036A5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84422"/>
    <w:multiLevelType w:val="hybridMultilevel"/>
    <w:tmpl w:val="FD1E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E2C80"/>
    <w:multiLevelType w:val="hybridMultilevel"/>
    <w:tmpl w:val="CCCE90E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F2FE8"/>
    <w:multiLevelType w:val="hybridMultilevel"/>
    <w:tmpl w:val="2A9021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8704B"/>
    <w:multiLevelType w:val="hybridMultilevel"/>
    <w:tmpl w:val="9392B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87F63"/>
    <w:multiLevelType w:val="hybridMultilevel"/>
    <w:tmpl w:val="79C4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D6979"/>
    <w:multiLevelType w:val="hybridMultilevel"/>
    <w:tmpl w:val="BEAA1C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327A24"/>
    <w:multiLevelType w:val="hybridMultilevel"/>
    <w:tmpl w:val="6A0EF4B2"/>
    <w:lvl w:ilvl="0" w:tplc="04090013">
      <w:start w:val="1"/>
      <w:numFmt w:val="upperRoman"/>
      <w:lvlText w:val="%1."/>
      <w:lvlJc w:val="righ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E478F2"/>
    <w:multiLevelType w:val="hybridMultilevel"/>
    <w:tmpl w:val="5DDA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F08E8"/>
    <w:multiLevelType w:val="hybridMultilevel"/>
    <w:tmpl w:val="B1429E2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573F8D"/>
    <w:multiLevelType w:val="hybridMultilevel"/>
    <w:tmpl w:val="935806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CE7040"/>
    <w:multiLevelType w:val="hybridMultilevel"/>
    <w:tmpl w:val="D71A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F1985"/>
    <w:multiLevelType w:val="hybridMultilevel"/>
    <w:tmpl w:val="4F6C5B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6A7348"/>
    <w:multiLevelType w:val="hybridMultilevel"/>
    <w:tmpl w:val="AB068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DD0739"/>
    <w:multiLevelType w:val="hybridMultilevel"/>
    <w:tmpl w:val="75F8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91F8E"/>
    <w:multiLevelType w:val="hybridMultilevel"/>
    <w:tmpl w:val="8730B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577574">
    <w:abstractNumId w:val="3"/>
  </w:num>
  <w:num w:numId="2" w16cid:durableId="1550338160">
    <w:abstractNumId w:val="15"/>
  </w:num>
  <w:num w:numId="3" w16cid:durableId="1572694767">
    <w:abstractNumId w:val="4"/>
  </w:num>
  <w:num w:numId="4" w16cid:durableId="547105702">
    <w:abstractNumId w:val="12"/>
  </w:num>
  <w:num w:numId="5" w16cid:durableId="1339892714">
    <w:abstractNumId w:val="6"/>
  </w:num>
  <w:num w:numId="6" w16cid:durableId="1249578083">
    <w:abstractNumId w:val="0"/>
  </w:num>
  <w:num w:numId="7" w16cid:durableId="607086714">
    <w:abstractNumId w:val="5"/>
  </w:num>
  <w:num w:numId="8" w16cid:durableId="1616208849">
    <w:abstractNumId w:val="18"/>
  </w:num>
  <w:num w:numId="9" w16cid:durableId="570889633">
    <w:abstractNumId w:val="14"/>
  </w:num>
  <w:num w:numId="10" w16cid:durableId="1861431050">
    <w:abstractNumId w:val="17"/>
  </w:num>
  <w:num w:numId="11" w16cid:durableId="77101610">
    <w:abstractNumId w:val="11"/>
  </w:num>
  <w:num w:numId="12" w16cid:durableId="1444301159">
    <w:abstractNumId w:val="7"/>
  </w:num>
  <w:num w:numId="13" w16cid:durableId="32269720">
    <w:abstractNumId w:val="8"/>
  </w:num>
  <w:num w:numId="14" w16cid:durableId="2008513922">
    <w:abstractNumId w:val="9"/>
  </w:num>
  <w:num w:numId="15" w16cid:durableId="1461261119">
    <w:abstractNumId w:val="19"/>
  </w:num>
  <w:num w:numId="16" w16cid:durableId="422459747">
    <w:abstractNumId w:val="10"/>
  </w:num>
  <w:num w:numId="17" w16cid:durableId="2001229483">
    <w:abstractNumId w:val="1"/>
  </w:num>
  <w:num w:numId="18" w16cid:durableId="1340737031">
    <w:abstractNumId w:val="16"/>
  </w:num>
  <w:num w:numId="19" w16cid:durableId="1956714169">
    <w:abstractNumId w:val="2"/>
  </w:num>
  <w:num w:numId="20" w16cid:durableId="16593791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2B"/>
    <w:rsid w:val="00037989"/>
    <w:rsid w:val="00126550"/>
    <w:rsid w:val="001A427B"/>
    <w:rsid w:val="001E10FD"/>
    <w:rsid w:val="001E5AC3"/>
    <w:rsid w:val="00204E36"/>
    <w:rsid w:val="002147E6"/>
    <w:rsid w:val="00226734"/>
    <w:rsid w:val="002B542D"/>
    <w:rsid w:val="00311BEC"/>
    <w:rsid w:val="00313EB6"/>
    <w:rsid w:val="00342C2B"/>
    <w:rsid w:val="00354FD2"/>
    <w:rsid w:val="00375396"/>
    <w:rsid w:val="0039789A"/>
    <w:rsid w:val="003B1E7A"/>
    <w:rsid w:val="003C4F98"/>
    <w:rsid w:val="003E0659"/>
    <w:rsid w:val="00401A96"/>
    <w:rsid w:val="00402677"/>
    <w:rsid w:val="004037A2"/>
    <w:rsid w:val="004E6C6B"/>
    <w:rsid w:val="00507C42"/>
    <w:rsid w:val="005205C9"/>
    <w:rsid w:val="00565495"/>
    <w:rsid w:val="0058751E"/>
    <w:rsid w:val="005D02C0"/>
    <w:rsid w:val="00625239"/>
    <w:rsid w:val="0067143B"/>
    <w:rsid w:val="006842DF"/>
    <w:rsid w:val="006B3DBB"/>
    <w:rsid w:val="006D2875"/>
    <w:rsid w:val="00717919"/>
    <w:rsid w:val="00741693"/>
    <w:rsid w:val="00757D95"/>
    <w:rsid w:val="0076512E"/>
    <w:rsid w:val="007C4410"/>
    <w:rsid w:val="00884536"/>
    <w:rsid w:val="008C20FE"/>
    <w:rsid w:val="008F5948"/>
    <w:rsid w:val="009268A0"/>
    <w:rsid w:val="00947465"/>
    <w:rsid w:val="00975E77"/>
    <w:rsid w:val="009E5A59"/>
    <w:rsid w:val="00A53C21"/>
    <w:rsid w:val="00AE1846"/>
    <w:rsid w:val="00AE5FD3"/>
    <w:rsid w:val="00B026F6"/>
    <w:rsid w:val="00B93F97"/>
    <w:rsid w:val="00B95790"/>
    <w:rsid w:val="00C0311E"/>
    <w:rsid w:val="00C044F2"/>
    <w:rsid w:val="00C605E9"/>
    <w:rsid w:val="00C63BA2"/>
    <w:rsid w:val="00C72E80"/>
    <w:rsid w:val="00C86ED9"/>
    <w:rsid w:val="00C87383"/>
    <w:rsid w:val="00C961EA"/>
    <w:rsid w:val="00CE020B"/>
    <w:rsid w:val="00CF5891"/>
    <w:rsid w:val="00D01B24"/>
    <w:rsid w:val="00D01CDB"/>
    <w:rsid w:val="00DA693C"/>
    <w:rsid w:val="00DE7990"/>
    <w:rsid w:val="00E35086"/>
    <w:rsid w:val="00EB1120"/>
    <w:rsid w:val="00ED4C77"/>
    <w:rsid w:val="00F20338"/>
    <w:rsid w:val="00F2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B32F"/>
  <w15:chartTrackingRefBased/>
  <w15:docId w15:val="{3F1D2918-5D7D-412E-B145-DCCC7620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2B"/>
    <w:rPr>
      <w:rFonts w:eastAsiaTheme="minorEastAsia"/>
    </w:rPr>
  </w:style>
  <w:style w:type="paragraph" w:styleId="Heading1">
    <w:name w:val="heading 1"/>
    <w:basedOn w:val="Normal"/>
    <w:next w:val="Normal"/>
    <w:link w:val="Heading1Char"/>
    <w:uiPriority w:val="9"/>
    <w:qFormat/>
    <w:rsid w:val="002B5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8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C2B"/>
    <w:pPr>
      <w:spacing w:after="0" w:line="240" w:lineRule="auto"/>
    </w:pPr>
    <w:rPr>
      <w:rFonts w:eastAsiaTheme="minorEastAsia"/>
    </w:rPr>
  </w:style>
  <w:style w:type="paragraph" w:styleId="Header">
    <w:name w:val="header"/>
    <w:basedOn w:val="Normal"/>
    <w:link w:val="HeaderChar"/>
    <w:uiPriority w:val="99"/>
    <w:unhideWhenUsed/>
    <w:rsid w:val="00342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C2B"/>
    <w:rPr>
      <w:rFonts w:eastAsiaTheme="minorEastAsia"/>
    </w:rPr>
  </w:style>
  <w:style w:type="character" w:styleId="Hyperlink">
    <w:name w:val="Hyperlink"/>
    <w:basedOn w:val="DefaultParagraphFont"/>
    <w:uiPriority w:val="99"/>
    <w:unhideWhenUsed/>
    <w:rsid w:val="0039789A"/>
    <w:rPr>
      <w:color w:val="0000FF"/>
      <w:u w:val="single"/>
    </w:rPr>
  </w:style>
  <w:style w:type="character" w:customStyle="1" w:styleId="Heading2Char">
    <w:name w:val="Heading 2 Char"/>
    <w:basedOn w:val="DefaultParagraphFont"/>
    <w:link w:val="Heading2"/>
    <w:uiPriority w:val="9"/>
    <w:rsid w:val="0039789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542D"/>
    <w:pPr>
      <w:ind w:left="720"/>
      <w:contextualSpacing/>
    </w:pPr>
    <w:rPr>
      <w:rFonts w:eastAsiaTheme="minorHAnsi"/>
    </w:rPr>
  </w:style>
  <w:style w:type="character" w:customStyle="1" w:styleId="Heading1Char">
    <w:name w:val="Heading 1 Char"/>
    <w:basedOn w:val="DefaultParagraphFont"/>
    <w:link w:val="Heading1"/>
    <w:uiPriority w:val="9"/>
    <w:rsid w:val="002B542D"/>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53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21"/>
    <w:rPr>
      <w:rFonts w:eastAsiaTheme="minorEastAsia"/>
    </w:rPr>
  </w:style>
  <w:style w:type="character" w:styleId="CommentReference">
    <w:name w:val="annotation reference"/>
    <w:basedOn w:val="DefaultParagraphFont"/>
    <w:uiPriority w:val="99"/>
    <w:semiHidden/>
    <w:unhideWhenUsed/>
    <w:rsid w:val="003C4F98"/>
    <w:rPr>
      <w:sz w:val="16"/>
      <w:szCs w:val="16"/>
    </w:rPr>
  </w:style>
  <w:style w:type="paragraph" w:styleId="CommentText">
    <w:name w:val="annotation text"/>
    <w:basedOn w:val="Normal"/>
    <w:link w:val="CommentTextChar"/>
    <w:uiPriority w:val="99"/>
    <w:semiHidden/>
    <w:unhideWhenUsed/>
    <w:rsid w:val="003C4F9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C4F98"/>
    <w:rPr>
      <w:sz w:val="20"/>
      <w:szCs w:val="20"/>
    </w:rPr>
  </w:style>
  <w:style w:type="table" w:styleId="TableGrid">
    <w:name w:val="Table Grid"/>
    <w:basedOn w:val="TableNormal"/>
    <w:uiPriority w:val="39"/>
    <w:rsid w:val="001A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E5FD3"/>
    <w:rPr>
      <w:rFonts w:eastAsiaTheme="minorEastAsia"/>
      <w:b/>
      <w:bCs/>
    </w:rPr>
  </w:style>
  <w:style w:type="character" w:customStyle="1" w:styleId="CommentSubjectChar">
    <w:name w:val="Comment Subject Char"/>
    <w:basedOn w:val="CommentTextChar"/>
    <w:link w:val="CommentSubject"/>
    <w:uiPriority w:val="99"/>
    <w:semiHidden/>
    <w:rsid w:val="00AE5FD3"/>
    <w:rPr>
      <w:rFonts w:eastAsiaTheme="minorEastAsia"/>
      <w:b/>
      <w:bCs/>
      <w:sz w:val="20"/>
      <w:szCs w:val="20"/>
    </w:rPr>
  </w:style>
  <w:style w:type="paragraph" w:styleId="Revision">
    <w:name w:val="Revision"/>
    <w:hidden/>
    <w:uiPriority w:val="99"/>
    <w:semiHidden/>
    <w:rsid w:val="0003798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4</cp:revision>
  <dcterms:created xsi:type="dcterms:W3CDTF">2023-01-03T05:25:00Z</dcterms:created>
  <dcterms:modified xsi:type="dcterms:W3CDTF">2023-01-03T05:27:00Z</dcterms:modified>
</cp:coreProperties>
</file>