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02FF" w14:textId="66A38F9F" w:rsidR="009A4F45" w:rsidRPr="00826519" w:rsidRDefault="00826519" w:rsidP="00826519">
      <w:pPr>
        <w:pStyle w:val="NoSpacing"/>
        <w:rPr>
          <w:b/>
          <w:bCs/>
          <w:sz w:val="28"/>
          <w:szCs w:val="28"/>
        </w:rPr>
      </w:pPr>
      <w:r w:rsidRPr="00826519">
        <w:rPr>
          <w:b/>
          <w:bCs/>
          <w:sz w:val="28"/>
          <w:szCs w:val="28"/>
        </w:rPr>
        <w:t xml:space="preserve">Pre-Service </w:t>
      </w:r>
      <w:r w:rsidR="009A4F45" w:rsidRPr="00826519">
        <w:rPr>
          <w:b/>
          <w:bCs/>
          <w:sz w:val="28"/>
          <w:szCs w:val="28"/>
        </w:rPr>
        <w:t>Module: Permanence</w:t>
      </w:r>
    </w:p>
    <w:p w14:paraId="5E32D650" w14:textId="694A279A" w:rsidR="009A4F45" w:rsidRPr="00826519" w:rsidRDefault="009A4F45" w:rsidP="00826519">
      <w:pPr>
        <w:pStyle w:val="NoSpacing"/>
        <w:rPr>
          <w:b/>
          <w:bCs/>
          <w:sz w:val="28"/>
          <w:szCs w:val="28"/>
        </w:rPr>
      </w:pPr>
      <w:r w:rsidRPr="00826519">
        <w:rPr>
          <w:b/>
          <w:bCs/>
          <w:sz w:val="28"/>
          <w:szCs w:val="28"/>
        </w:rPr>
        <w:t>Section 2</w:t>
      </w:r>
      <w:r w:rsidR="00826519" w:rsidRPr="00826519">
        <w:rPr>
          <w:b/>
          <w:bCs/>
          <w:sz w:val="28"/>
          <w:szCs w:val="28"/>
        </w:rPr>
        <w:t xml:space="preserve">: </w:t>
      </w:r>
      <w:r w:rsidRPr="00826519">
        <w:rPr>
          <w:b/>
          <w:bCs/>
          <w:sz w:val="28"/>
          <w:szCs w:val="28"/>
        </w:rPr>
        <w:t xml:space="preserve">Permanency Tools and Resources </w:t>
      </w:r>
    </w:p>
    <w:p w14:paraId="61531252" w14:textId="77777777" w:rsidR="009A4F45" w:rsidRDefault="009A4F45" w:rsidP="009A4F45">
      <w:pPr>
        <w:pStyle w:val="NoSpacing"/>
        <w:rPr>
          <w:sz w:val="24"/>
          <w:szCs w:val="24"/>
          <w:highlight w:val="cyan"/>
        </w:rPr>
      </w:pPr>
    </w:p>
    <w:p w14:paraId="31A41F71" w14:textId="77777777" w:rsidR="00826519" w:rsidRPr="00645760" w:rsidRDefault="00826519" w:rsidP="00826519">
      <w:pPr>
        <w:pStyle w:val="NoSpacing"/>
        <w:rPr>
          <w:rFonts w:cstheme="minorHAnsi"/>
          <w:b/>
          <w:bCs/>
          <w:sz w:val="24"/>
          <w:szCs w:val="24"/>
        </w:rPr>
      </w:pPr>
      <w:bookmarkStart w:id="0" w:name="_Hlk121749425"/>
      <w:r w:rsidRPr="00645760">
        <w:rPr>
          <w:rFonts w:cstheme="minorHAnsi"/>
          <w:b/>
          <w:bCs/>
          <w:sz w:val="24"/>
          <w:szCs w:val="24"/>
        </w:rPr>
        <w:t>Section Learning Objectives</w:t>
      </w:r>
    </w:p>
    <w:p w14:paraId="0056F737" w14:textId="2734DCC2" w:rsidR="00826519" w:rsidRPr="00AE1B0C" w:rsidRDefault="00826519" w:rsidP="00826519">
      <w:pPr>
        <w:pStyle w:val="NoSpacing"/>
        <w:rPr>
          <w:rFonts w:cstheme="minorHAnsi"/>
          <w:sz w:val="24"/>
          <w:szCs w:val="24"/>
        </w:rPr>
      </w:pPr>
      <w:bookmarkStart w:id="1" w:name="_Hlk121146627"/>
      <w:r w:rsidRPr="00AE1B0C">
        <w:rPr>
          <w:rFonts w:cstheme="minorHAnsi"/>
          <w:sz w:val="24"/>
          <w:szCs w:val="24"/>
        </w:rPr>
        <w:t xml:space="preserve">By the end of Section </w:t>
      </w:r>
      <w:r>
        <w:rPr>
          <w:rFonts w:cstheme="minorHAnsi"/>
          <w:sz w:val="24"/>
          <w:szCs w:val="24"/>
        </w:rPr>
        <w:t>2</w:t>
      </w:r>
      <w:r w:rsidRPr="00AE1B0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Permanency Tools and Resources</w:t>
      </w:r>
      <w:r w:rsidRPr="00AE1B0C">
        <w:rPr>
          <w:rFonts w:cstheme="minorHAnsi"/>
          <w:sz w:val="24"/>
          <w:szCs w:val="24"/>
        </w:rPr>
        <w:t xml:space="preserve">, child welfare professionals will be able to: </w:t>
      </w:r>
    </w:p>
    <w:bookmarkEnd w:id="0"/>
    <w:bookmarkEnd w:id="1"/>
    <w:p w14:paraId="3206D760" w14:textId="77777777" w:rsidR="009A4F45" w:rsidRPr="009A4F45" w:rsidRDefault="009A4F45" w:rsidP="009A4F4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A4F45">
        <w:rPr>
          <w:sz w:val="24"/>
          <w:szCs w:val="24"/>
        </w:rPr>
        <w:t>Become familiar with resources and tools available to sustain and expedite permanency</w:t>
      </w:r>
    </w:p>
    <w:p w14:paraId="4B815AA3" w14:textId="77777777" w:rsidR="009A4F45" w:rsidRPr="009A4F45" w:rsidRDefault="009A4F45" w:rsidP="009A4F4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A4F45">
        <w:rPr>
          <w:sz w:val="24"/>
          <w:szCs w:val="24"/>
        </w:rPr>
        <w:t>Use Permanency Tools during an interview with a child to discover important adults, peers, and family members</w:t>
      </w:r>
    </w:p>
    <w:p w14:paraId="3C7EF41C" w14:textId="77777777" w:rsidR="009A4F45" w:rsidRPr="00826519" w:rsidRDefault="009A4F45" w:rsidP="009A4F45">
      <w:pPr>
        <w:pStyle w:val="NoSpacing"/>
        <w:ind w:left="720"/>
        <w:rPr>
          <w:sz w:val="28"/>
          <w:szCs w:val="28"/>
          <w:highlight w:val="yellow"/>
        </w:rPr>
      </w:pPr>
    </w:p>
    <w:p w14:paraId="404C9B07" w14:textId="77777777" w:rsidR="00EF3BE2" w:rsidRPr="00645760" w:rsidRDefault="00EF3BE2" w:rsidP="00EF3BE2">
      <w:pPr>
        <w:pStyle w:val="NoSpacing"/>
        <w:rPr>
          <w:b/>
          <w:bCs/>
          <w:sz w:val="24"/>
          <w:szCs w:val="24"/>
        </w:rPr>
      </w:pPr>
      <w:bookmarkStart w:id="2" w:name="_Hlk121146702"/>
      <w:r w:rsidRPr="00645760">
        <w:rPr>
          <w:b/>
          <w:bCs/>
          <w:sz w:val="24"/>
          <w:szCs w:val="24"/>
        </w:rPr>
        <w:t>Section Themes and Key Points</w:t>
      </w:r>
    </w:p>
    <w:p w14:paraId="55E43202" w14:textId="7DB973E0" w:rsidR="00EF3BE2" w:rsidRPr="00EF3BE2" w:rsidRDefault="00EF3BE2" w:rsidP="00EF3BE2">
      <w:pPr>
        <w:pStyle w:val="NoSpacing"/>
        <w:rPr>
          <w:sz w:val="24"/>
          <w:szCs w:val="24"/>
        </w:rPr>
      </w:pPr>
      <w:r w:rsidRPr="00EF3BE2">
        <w:rPr>
          <w:sz w:val="24"/>
          <w:szCs w:val="24"/>
        </w:rPr>
        <w:t>Below is a summary of the themes and key points covered in this section. This summary is intended to remind learners of the key learning points addressed and assist supervisors</w:t>
      </w:r>
      <w:r w:rsidR="00A01972">
        <w:rPr>
          <w:sz w:val="24"/>
          <w:szCs w:val="24"/>
        </w:rPr>
        <w:t xml:space="preserve"> </w:t>
      </w:r>
      <w:r w:rsidRPr="00EF3BE2">
        <w:rPr>
          <w:sz w:val="24"/>
          <w:szCs w:val="24"/>
        </w:rPr>
        <w:t xml:space="preserve">/ coaches in understanding what was covered </w:t>
      </w:r>
      <w:proofErr w:type="gramStart"/>
      <w:r w:rsidRPr="00EF3BE2">
        <w:rPr>
          <w:sz w:val="24"/>
          <w:szCs w:val="24"/>
        </w:rPr>
        <w:t>in order for</w:t>
      </w:r>
      <w:proofErr w:type="gramEnd"/>
      <w:r w:rsidRPr="00EF3BE2">
        <w:rPr>
          <w:sz w:val="24"/>
          <w:szCs w:val="24"/>
        </w:rPr>
        <w:t xml:space="preserve"> them to guide and support the application of learning for new child welfare professionals related to this section.</w:t>
      </w:r>
    </w:p>
    <w:bookmarkEnd w:id="2"/>
    <w:p w14:paraId="2F4C2453" w14:textId="73A5D7BC" w:rsidR="00DE7990" w:rsidRPr="00EF3BE2" w:rsidRDefault="00DE7990" w:rsidP="00EF3BE2">
      <w:pPr>
        <w:pStyle w:val="NoSpacing"/>
        <w:rPr>
          <w:sz w:val="24"/>
          <w:szCs w:val="24"/>
        </w:rPr>
      </w:pPr>
    </w:p>
    <w:p w14:paraId="3999A1C0" w14:textId="1DB508E0" w:rsidR="009A4F45" w:rsidRDefault="00EF3BE2" w:rsidP="00A0197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6" w:after="6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section identifies t</w:t>
      </w:r>
      <w:r w:rsidR="009A4F45" w:rsidRPr="00EF3BE2">
        <w:rPr>
          <w:rFonts w:cstheme="minorHAnsi"/>
          <w:sz w:val="24"/>
          <w:szCs w:val="24"/>
        </w:rPr>
        <w:t xml:space="preserve">ools and resources </w:t>
      </w:r>
      <w:r>
        <w:rPr>
          <w:rFonts w:cstheme="minorHAnsi"/>
          <w:sz w:val="24"/>
          <w:szCs w:val="24"/>
        </w:rPr>
        <w:t>for child welfare professionals to</w:t>
      </w:r>
      <w:r w:rsidR="009A4F45" w:rsidRPr="00EF3BE2">
        <w:rPr>
          <w:rFonts w:cstheme="minorHAnsi"/>
          <w:sz w:val="24"/>
          <w:szCs w:val="24"/>
        </w:rPr>
        <w:t xml:space="preserve"> partner with children to learn about their families and important people in their lives, explore permanency options, and expedite permanency.  </w:t>
      </w:r>
      <w:r w:rsidR="00A01972" w:rsidRPr="00A01972">
        <w:rPr>
          <w:rFonts w:cstheme="minorHAnsi"/>
          <w:sz w:val="24"/>
          <w:szCs w:val="24"/>
        </w:rPr>
        <w:t>Tools to find permanency options for youth in out-of-home care</w:t>
      </w:r>
      <w:r w:rsidR="00A01972">
        <w:rPr>
          <w:rFonts w:cstheme="minorHAnsi"/>
          <w:sz w:val="24"/>
          <w:szCs w:val="24"/>
        </w:rPr>
        <w:t xml:space="preserve"> include</w:t>
      </w:r>
      <w:r w:rsidR="00A01972" w:rsidRPr="00A01972">
        <w:rPr>
          <w:rFonts w:cstheme="minorHAnsi"/>
          <w:sz w:val="24"/>
          <w:szCs w:val="24"/>
        </w:rPr>
        <w:t>:</w:t>
      </w:r>
    </w:p>
    <w:p w14:paraId="2296A4F2" w14:textId="6C4F0A5C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>G</w:t>
      </w:r>
      <w:r w:rsidR="00A56B6C">
        <w:rPr>
          <w:rFonts w:cstheme="minorHAnsi"/>
          <w:sz w:val="24"/>
          <w:szCs w:val="24"/>
        </w:rPr>
        <w:t xml:space="preserve">eographic </w:t>
      </w:r>
      <w:r w:rsidRPr="00352D48">
        <w:rPr>
          <w:rFonts w:cstheme="minorHAnsi"/>
          <w:sz w:val="24"/>
          <w:szCs w:val="24"/>
        </w:rPr>
        <w:t>P</w:t>
      </w:r>
      <w:r w:rsidR="00A56B6C">
        <w:rPr>
          <w:rFonts w:cstheme="minorHAnsi"/>
          <w:sz w:val="24"/>
          <w:szCs w:val="24"/>
        </w:rPr>
        <w:t xml:space="preserve">lacement </w:t>
      </w:r>
      <w:r w:rsidRPr="00352D48">
        <w:rPr>
          <w:rFonts w:cstheme="minorHAnsi"/>
          <w:sz w:val="24"/>
          <w:szCs w:val="24"/>
        </w:rPr>
        <w:t>R</w:t>
      </w:r>
      <w:r w:rsidR="00A56B6C">
        <w:rPr>
          <w:rFonts w:cstheme="minorHAnsi"/>
          <w:sz w:val="24"/>
          <w:szCs w:val="24"/>
        </w:rPr>
        <w:t xml:space="preserve">esource </w:t>
      </w:r>
      <w:r w:rsidRPr="00352D48">
        <w:rPr>
          <w:rFonts w:cstheme="minorHAnsi"/>
          <w:sz w:val="24"/>
          <w:szCs w:val="24"/>
        </w:rPr>
        <w:t>S</w:t>
      </w:r>
      <w:r w:rsidR="00A56B6C">
        <w:rPr>
          <w:rFonts w:cstheme="minorHAnsi"/>
          <w:sz w:val="24"/>
          <w:szCs w:val="24"/>
        </w:rPr>
        <w:t>ystem (GPRS)</w:t>
      </w:r>
    </w:p>
    <w:p w14:paraId="08429609" w14:textId="77777777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>Connectedness Map</w:t>
      </w:r>
    </w:p>
    <w:p w14:paraId="7D827AA2" w14:textId="77777777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>Remembered Person Chart</w:t>
      </w:r>
    </w:p>
    <w:p w14:paraId="11A78EDE" w14:textId="77777777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>Genograms</w:t>
      </w:r>
    </w:p>
    <w:p w14:paraId="6420916B" w14:textId="77777777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>Seneca Search</w:t>
      </w:r>
    </w:p>
    <w:p w14:paraId="5077AD9B" w14:textId="77777777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 xml:space="preserve">Public Adoption Recruitment </w:t>
      </w:r>
    </w:p>
    <w:p w14:paraId="1A4BF731" w14:textId="77777777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 xml:space="preserve">Photo Listing </w:t>
      </w:r>
    </w:p>
    <w:p w14:paraId="6F56CB25" w14:textId="77777777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 xml:space="preserve">Data Mining </w:t>
      </w:r>
    </w:p>
    <w:p w14:paraId="58FA0A24" w14:textId="0B63D9F4" w:rsidR="00645760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>Resistance</w:t>
      </w:r>
      <w:r w:rsidR="00645760">
        <w:rPr>
          <w:rFonts w:cstheme="minorHAnsi"/>
          <w:sz w:val="24"/>
          <w:szCs w:val="24"/>
        </w:rPr>
        <w:t>: U</w:t>
      </w:r>
      <w:r w:rsidRPr="00352D48">
        <w:rPr>
          <w:rFonts w:cstheme="minorHAnsi"/>
          <w:sz w:val="24"/>
          <w:szCs w:val="24"/>
        </w:rPr>
        <w:t xml:space="preserve">npacking the </w:t>
      </w:r>
      <w:r w:rsidR="00645760">
        <w:rPr>
          <w:rFonts w:cstheme="minorHAnsi"/>
          <w:sz w:val="24"/>
          <w:szCs w:val="24"/>
        </w:rPr>
        <w:t>N</w:t>
      </w:r>
      <w:r w:rsidRPr="00352D48">
        <w:rPr>
          <w:rFonts w:cstheme="minorHAnsi"/>
          <w:sz w:val="24"/>
          <w:szCs w:val="24"/>
        </w:rPr>
        <w:t xml:space="preserve">o </w:t>
      </w:r>
    </w:p>
    <w:p w14:paraId="6FBC3B0E" w14:textId="4ECF3E3C" w:rsidR="009A4F45" w:rsidRPr="00352D48" w:rsidRDefault="00645760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9A4F45" w:rsidRPr="00352D48">
        <w:rPr>
          <w:rFonts w:cstheme="minorHAnsi"/>
          <w:sz w:val="24"/>
          <w:szCs w:val="24"/>
        </w:rPr>
        <w:t xml:space="preserve">everse </w:t>
      </w:r>
      <w:r>
        <w:rPr>
          <w:rFonts w:cstheme="minorHAnsi"/>
          <w:sz w:val="24"/>
          <w:szCs w:val="24"/>
        </w:rPr>
        <w:t>P</w:t>
      </w:r>
      <w:r w:rsidR="009A4F45" w:rsidRPr="00352D48">
        <w:rPr>
          <w:rFonts w:cstheme="minorHAnsi"/>
          <w:sz w:val="24"/>
          <w:szCs w:val="24"/>
        </w:rPr>
        <w:t>lanning</w:t>
      </w:r>
    </w:p>
    <w:p w14:paraId="23328897" w14:textId="77777777" w:rsidR="009A4F45" w:rsidRPr="00352D48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 xml:space="preserve">Permanency Pact </w:t>
      </w:r>
    </w:p>
    <w:p w14:paraId="64AED01C" w14:textId="2DD49ED1" w:rsidR="009A4F45" w:rsidRDefault="009A4F45" w:rsidP="00A0197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6" w:after="6" w:line="240" w:lineRule="auto"/>
        <w:ind w:left="720"/>
        <w:rPr>
          <w:rFonts w:cstheme="minorHAnsi"/>
          <w:sz w:val="24"/>
          <w:szCs w:val="24"/>
        </w:rPr>
      </w:pPr>
      <w:r w:rsidRPr="00352D48">
        <w:rPr>
          <w:rFonts w:cstheme="minorHAnsi"/>
          <w:sz w:val="24"/>
          <w:szCs w:val="24"/>
        </w:rPr>
        <w:t xml:space="preserve">3 Houses Model </w:t>
      </w:r>
    </w:p>
    <w:p w14:paraId="50DD778A" w14:textId="77777777" w:rsidR="00F86CA4" w:rsidRPr="00645760" w:rsidRDefault="00F86CA4" w:rsidP="00645760">
      <w:pPr>
        <w:pStyle w:val="NoSpacing"/>
        <w:rPr>
          <w:sz w:val="24"/>
          <w:szCs w:val="24"/>
        </w:rPr>
      </w:pPr>
    </w:p>
    <w:p w14:paraId="3EA97E0B" w14:textId="0B1347E3" w:rsidR="00B97460" w:rsidRDefault="00A01972" w:rsidP="00B97460">
      <w:pPr>
        <w:pStyle w:val="NoSpacing"/>
      </w:pPr>
      <w:bookmarkStart w:id="3" w:name="_Hlk121745312"/>
      <w:bookmarkStart w:id="4" w:name="_Hlk121756518"/>
      <w:r w:rsidRPr="00EA5A58">
        <w:rPr>
          <w:b/>
          <w:bCs/>
          <w:sz w:val="24"/>
          <w:szCs w:val="24"/>
        </w:rPr>
        <w:t>On-the-Job Application Activities</w:t>
      </w:r>
    </w:p>
    <w:p w14:paraId="07554025" w14:textId="2751DAB4" w:rsidR="00B97460" w:rsidRPr="006E3061" w:rsidRDefault="00B97460" w:rsidP="00B97460">
      <w:pPr>
        <w:pStyle w:val="NoSpacing"/>
        <w:rPr>
          <w:sz w:val="24"/>
          <w:szCs w:val="24"/>
          <w:shd w:val="clear" w:color="auto" w:fill="FFFFFF"/>
        </w:rPr>
      </w:pPr>
      <w:bookmarkStart w:id="5" w:name="_Hlk121739980"/>
      <w:r w:rsidRPr="006E3061">
        <w:rPr>
          <w:sz w:val="24"/>
          <w:szCs w:val="24"/>
        </w:rPr>
        <w:t xml:space="preserve">Listed in this section </w:t>
      </w:r>
      <w:r w:rsidR="00F86CA4">
        <w:rPr>
          <w:sz w:val="24"/>
          <w:szCs w:val="24"/>
        </w:rPr>
        <w:t>is an</w:t>
      </w:r>
      <w:r w:rsidRPr="006E3061">
        <w:rPr>
          <w:sz w:val="24"/>
          <w:szCs w:val="24"/>
        </w:rPr>
        <w:t xml:space="preserve"> optional t</w:t>
      </w:r>
      <w:r w:rsidRPr="006E3061">
        <w:rPr>
          <w:sz w:val="24"/>
          <w:szCs w:val="24"/>
          <w:shd w:val="clear" w:color="auto" w:fill="FFFFFF"/>
        </w:rPr>
        <w:t>ransfer of training activit</w:t>
      </w:r>
      <w:r w:rsidR="00F86CA4">
        <w:rPr>
          <w:sz w:val="24"/>
          <w:szCs w:val="24"/>
          <w:shd w:val="clear" w:color="auto" w:fill="FFFFFF"/>
        </w:rPr>
        <w:t>y</w:t>
      </w:r>
      <w:r w:rsidRPr="006E3061">
        <w:rPr>
          <w:sz w:val="24"/>
          <w:szCs w:val="24"/>
          <w:shd w:val="clear" w:color="auto" w:fill="FFFFFF"/>
        </w:rPr>
        <w:t xml:space="preserve"> to support the learner in applying the knowledge </w:t>
      </w:r>
      <w:r w:rsidRPr="006E3061">
        <w:rPr>
          <w:sz w:val="24"/>
          <w:szCs w:val="24"/>
        </w:rPr>
        <w:t xml:space="preserve">acquired during the </w:t>
      </w:r>
      <w:r>
        <w:rPr>
          <w:sz w:val="24"/>
          <w:szCs w:val="24"/>
        </w:rPr>
        <w:t>Permanency</w:t>
      </w:r>
      <w:r w:rsidRPr="006E3061">
        <w:rPr>
          <w:sz w:val="24"/>
          <w:szCs w:val="24"/>
        </w:rPr>
        <w:t xml:space="preserve"> </w:t>
      </w:r>
      <w:r w:rsidR="00A01972">
        <w:rPr>
          <w:sz w:val="24"/>
          <w:szCs w:val="24"/>
        </w:rPr>
        <w:t xml:space="preserve">Tools and Resources </w:t>
      </w:r>
      <w:r w:rsidRPr="006E3061">
        <w:rPr>
          <w:sz w:val="24"/>
          <w:szCs w:val="24"/>
        </w:rPr>
        <w:t>Pre-Service Module</w:t>
      </w:r>
      <w:r w:rsidRPr="006E3061">
        <w:rPr>
          <w:sz w:val="24"/>
          <w:szCs w:val="24"/>
          <w:shd w:val="clear" w:color="auto" w:fill="FFFFFF"/>
        </w:rPr>
        <w:t xml:space="preserve"> to their CPS roles and responsibilities.</w:t>
      </w:r>
    </w:p>
    <w:p w14:paraId="56E020D4" w14:textId="77777777" w:rsidR="00645760" w:rsidRDefault="00645760" w:rsidP="00B97460">
      <w:pPr>
        <w:pStyle w:val="NoSpacing"/>
        <w:rPr>
          <w:sz w:val="24"/>
          <w:szCs w:val="24"/>
          <w:shd w:val="clear" w:color="auto" w:fill="FFFFFF"/>
        </w:rPr>
      </w:pPr>
    </w:p>
    <w:p w14:paraId="6C8A7E3E" w14:textId="3B6DDBE7" w:rsidR="00B97460" w:rsidRPr="006E3061" w:rsidRDefault="00F86CA4" w:rsidP="00B97460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This activity is</w:t>
      </w:r>
      <w:r w:rsidR="00B97460" w:rsidRPr="006E3061">
        <w:rPr>
          <w:sz w:val="24"/>
          <w:szCs w:val="24"/>
          <w:shd w:val="clear" w:color="auto" w:fill="FFFFFF"/>
        </w:rPr>
        <w:t xml:space="preserve"> optional and </w:t>
      </w:r>
      <w:r>
        <w:rPr>
          <w:sz w:val="24"/>
          <w:szCs w:val="24"/>
          <w:shd w:val="clear" w:color="auto" w:fill="FFFFFF"/>
        </w:rPr>
        <w:t>is</w:t>
      </w:r>
      <w:r w:rsidR="00B97460" w:rsidRPr="006E3061">
        <w:rPr>
          <w:sz w:val="24"/>
          <w:szCs w:val="24"/>
          <w:shd w:val="clear" w:color="auto" w:fill="FFFFFF"/>
        </w:rPr>
        <w:t xml:space="preserve"> provided only to aid the child welfare professional and supervisor/coach in supporting transfer of learning from pre-service to the agency. The child welfare professional, with input from their supervisor/coach, may choose to complete </w:t>
      </w:r>
      <w:r w:rsidR="00A01972">
        <w:rPr>
          <w:sz w:val="24"/>
          <w:szCs w:val="24"/>
          <w:shd w:val="clear" w:color="auto" w:fill="FFFFFF"/>
        </w:rPr>
        <w:t xml:space="preserve">the </w:t>
      </w:r>
      <w:r w:rsidR="00B97460" w:rsidRPr="006E3061">
        <w:rPr>
          <w:sz w:val="24"/>
          <w:szCs w:val="24"/>
          <w:shd w:val="clear" w:color="auto" w:fill="FFFFFF"/>
        </w:rPr>
        <w:t>activit</w:t>
      </w:r>
      <w:r w:rsidR="00A01972">
        <w:rPr>
          <w:sz w:val="24"/>
          <w:szCs w:val="24"/>
          <w:shd w:val="clear" w:color="auto" w:fill="FFFFFF"/>
        </w:rPr>
        <w:t>y</w:t>
      </w:r>
      <w:r w:rsidR="00B97460" w:rsidRPr="006E3061">
        <w:rPr>
          <w:sz w:val="24"/>
          <w:szCs w:val="24"/>
          <w:shd w:val="clear" w:color="auto" w:fill="FFFFFF"/>
        </w:rPr>
        <w:t xml:space="preserve"> or substitute in other activities. </w:t>
      </w:r>
    </w:p>
    <w:bookmarkEnd w:id="3"/>
    <w:p w14:paraId="3620F972" w14:textId="4A96EB58" w:rsidR="00B97460" w:rsidRPr="006E3061" w:rsidRDefault="00F86CA4" w:rsidP="00B974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The activity is</w:t>
      </w:r>
      <w:r w:rsidR="00B97460" w:rsidRPr="006E3061">
        <w:rPr>
          <w:sz w:val="24"/>
          <w:szCs w:val="24"/>
        </w:rPr>
        <w:t xml:space="preserve"> described below, and a resource section to aid the post-activity supervisor/coach discussion with the child welfare professional follows the description.</w:t>
      </w:r>
    </w:p>
    <w:bookmarkEnd w:id="4"/>
    <w:bookmarkEnd w:id="5"/>
    <w:p w14:paraId="49630012" w14:textId="26B8F36E" w:rsidR="009A4F45" w:rsidRPr="004C7C98" w:rsidRDefault="009A4F45" w:rsidP="004C7C98">
      <w:pPr>
        <w:pStyle w:val="NoSpacing"/>
        <w:rPr>
          <w:sz w:val="24"/>
          <w:szCs w:val="24"/>
        </w:rPr>
      </w:pPr>
    </w:p>
    <w:p w14:paraId="26121A71" w14:textId="4C35EC88" w:rsidR="009A4F45" w:rsidRPr="004C7C98" w:rsidRDefault="009A4F45" w:rsidP="00A01972">
      <w:pPr>
        <w:pStyle w:val="NoSpacing"/>
        <w:ind w:firstLine="360"/>
        <w:rPr>
          <w:rFonts w:eastAsia="Times New Roman"/>
          <w:b/>
          <w:bCs/>
          <w:sz w:val="24"/>
          <w:szCs w:val="24"/>
          <w:u w:val="single"/>
        </w:rPr>
      </w:pPr>
      <w:bookmarkStart w:id="6" w:name="_Hlk122360043"/>
      <w:r w:rsidRPr="004C7C98">
        <w:rPr>
          <w:rFonts w:eastAsia="Times New Roman"/>
          <w:b/>
          <w:bCs/>
          <w:sz w:val="24"/>
          <w:szCs w:val="24"/>
          <w:u w:val="single"/>
        </w:rPr>
        <w:t xml:space="preserve">Option </w:t>
      </w:r>
      <w:r w:rsidR="00F86CA4">
        <w:rPr>
          <w:rFonts w:eastAsia="Times New Roman"/>
          <w:b/>
          <w:bCs/>
          <w:sz w:val="24"/>
          <w:szCs w:val="24"/>
          <w:u w:val="single"/>
        </w:rPr>
        <w:t>1</w:t>
      </w:r>
      <w:r w:rsidR="004C7C98" w:rsidRPr="004C7C98">
        <w:rPr>
          <w:rFonts w:eastAsia="Times New Roman"/>
          <w:b/>
          <w:bCs/>
          <w:sz w:val="24"/>
          <w:szCs w:val="24"/>
          <w:u w:val="single"/>
        </w:rPr>
        <w:t>: Genogram Activity</w:t>
      </w:r>
    </w:p>
    <w:bookmarkEnd w:id="6"/>
    <w:p w14:paraId="1F8D357F" w14:textId="77F3E69C" w:rsidR="009A4F45" w:rsidRPr="000F729C" w:rsidRDefault="004C7C98" w:rsidP="00A01972">
      <w:pPr>
        <w:pStyle w:val="NoSpacing"/>
        <w:ind w:left="360"/>
        <w:rPr>
          <w:rFonts w:eastAsia="Times New Roman"/>
          <w:sz w:val="24"/>
          <w:szCs w:val="24"/>
        </w:rPr>
      </w:pPr>
      <w:r w:rsidRPr="000F729C">
        <w:rPr>
          <w:rFonts w:eastAsia="Times New Roman"/>
          <w:sz w:val="24"/>
          <w:szCs w:val="24"/>
        </w:rPr>
        <w:t xml:space="preserve">A Genogram is a tool that can assist in </w:t>
      </w:r>
      <w:r w:rsidR="009A4F45" w:rsidRPr="000F729C">
        <w:rPr>
          <w:rFonts w:eastAsia="Times New Roman"/>
          <w:sz w:val="24"/>
          <w:szCs w:val="24"/>
        </w:rPr>
        <w:t>expediting and sustaining permanency options for youth in out-of-home care</w:t>
      </w:r>
      <w:r w:rsidRPr="000F729C">
        <w:rPr>
          <w:rFonts w:eastAsia="Times New Roman"/>
          <w:sz w:val="24"/>
          <w:szCs w:val="24"/>
        </w:rPr>
        <w:t xml:space="preserve"> by </w:t>
      </w:r>
      <w:r w:rsidR="009A4F45" w:rsidRPr="000F729C">
        <w:rPr>
          <w:rFonts w:eastAsia="Times New Roman"/>
          <w:sz w:val="24"/>
          <w:szCs w:val="24"/>
        </w:rPr>
        <w:t>expand</w:t>
      </w:r>
      <w:r w:rsidRPr="000F729C">
        <w:rPr>
          <w:rFonts w:eastAsia="Times New Roman"/>
          <w:sz w:val="24"/>
          <w:szCs w:val="24"/>
        </w:rPr>
        <w:t>ing</w:t>
      </w:r>
      <w:r w:rsidR="009A4F45" w:rsidRPr="000F729C">
        <w:rPr>
          <w:rFonts w:eastAsia="Times New Roman"/>
          <w:sz w:val="24"/>
          <w:szCs w:val="24"/>
        </w:rPr>
        <w:t xml:space="preserve"> </w:t>
      </w:r>
      <w:r w:rsidRPr="000F729C">
        <w:rPr>
          <w:rFonts w:eastAsia="Times New Roman"/>
          <w:sz w:val="24"/>
          <w:szCs w:val="24"/>
        </w:rPr>
        <w:t xml:space="preserve">information and </w:t>
      </w:r>
      <w:r w:rsidR="009A4F45" w:rsidRPr="000F729C">
        <w:rPr>
          <w:rFonts w:eastAsia="Times New Roman"/>
          <w:sz w:val="24"/>
          <w:szCs w:val="24"/>
        </w:rPr>
        <w:t xml:space="preserve">knowledge of </w:t>
      </w:r>
      <w:r w:rsidR="000F729C" w:rsidRPr="000F729C">
        <w:rPr>
          <w:rFonts w:eastAsia="Times New Roman"/>
          <w:sz w:val="24"/>
          <w:szCs w:val="24"/>
        </w:rPr>
        <w:t>family</w:t>
      </w:r>
      <w:r w:rsidR="009A4F45" w:rsidRPr="000F729C">
        <w:rPr>
          <w:rFonts w:eastAsia="Times New Roman"/>
          <w:sz w:val="24"/>
          <w:szCs w:val="24"/>
        </w:rPr>
        <w:t xml:space="preserve"> make-up </w:t>
      </w:r>
      <w:r w:rsidRPr="000F729C">
        <w:rPr>
          <w:rFonts w:eastAsia="Times New Roman"/>
          <w:sz w:val="24"/>
          <w:szCs w:val="24"/>
        </w:rPr>
        <w:t xml:space="preserve">and </w:t>
      </w:r>
      <w:r w:rsidR="009A4F45" w:rsidRPr="000F729C">
        <w:rPr>
          <w:rFonts w:eastAsia="Times New Roman"/>
          <w:sz w:val="24"/>
          <w:szCs w:val="24"/>
        </w:rPr>
        <w:t xml:space="preserve">relationships. </w:t>
      </w:r>
    </w:p>
    <w:p w14:paraId="51AF70D9" w14:textId="47169877" w:rsidR="000F729C" w:rsidRDefault="000F729C" w:rsidP="000F729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 information about developing Genograms on the following link, </w:t>
      </w:r>
      <w:bookmarkStart w:id="7" w:name="_Hlk122360315"/>
      <w:r w:rsidRPr="00645760">
        <w:rPr>
          <w:b/>
          <w:bCs/>
          <w:sz w:val="24"/>
          <w:szCs w:val="24"/>
        </w:rPr>
        <w:t>GenoPro</w:t>
      </w:r>
      <w:r>
        <w:rPr>
          <w:sz w:val="24"/>
          <w:szCs w:val="24"/>
        </w:rPr>
        <w:t xml:space="preserve">: </w:t>
      </w:r>
      <w:hyperlink r:id="rId7" w:history="1">
        <w:r w:rsidRPr="00925EB0">
          <w:rPr>
            <w:rStyle w:val="Hyperlink"/>
            <w:sz w:val="24"/>
            <w:szCs w:val="24"/>
          </w:rPr>
          <w:t>https://genopro.com/genogram/</w:t>
        </w:r>
      </w:hyperlink>
      <w:r w:rsidR="00A01972">
        <w:rPr>
          <w:rStyle w:val="Hyperlink"/>
          <w:color w:val="auto"/>
          <w:sz w:val="24"/>
          <w:szCs w:val="24"/>
          <w:u w:val="none"/>
        </w:rPr>
        <w:t>.</w:t>
      </w:r>
    </w:p>
    <w:bookmarkEnd w:id="7"/>
    <w:p w14:paraId="4512810C" w14:textId="70F55B62" w:rsidR="000F729C" w:rsidRDefault="000F729C" w:rsidP="00A0197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rPr>
          <w:sz w:val="24"/>
          <w:szCs w:val="24"/>
        </w:rPr>
      </w:pPr>
      <w:r>
        <w:rPr>
          <w:sz w:val="24"/>
          <w:szCs w:val="24"/>
        </w:rPr>
        <w:t>Ask your supervisor or coach about the opportunity to review an existing family’s notes and create a Genogram</w:t>
      </w:r>
      <w:r w:rsidR="00A01972">
        <w:rPr>
          <w:sz w:val="24"/>
          <w:szCs w:val="24"/>
        </w:rPr>
        <w:t>.</w:t>
      </w:r>
    </w:p>
    <w:p w14:paraId="0ACCB919" w14:textId="0FBFAB2D" w:rsidR="000F729C" w:rsidRPr="000F729C" w:rsidRDefault="000F729C" w:rsidP="00A0197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rPr>
          <w:sz w:val="24"/>
          <w:szCs w:val="24"/>
        </w:rPr>
      </w:pPr>
      <w:r>
        <w:rPr>
          <w:sz w:val="24"/>
          <w:szCs w:val="24"/>
        </w:rPr>
        <w:t>Review the Genogram and the impact this information could have on permanency with your supervisor or coach</w:t>
      </w:r>
      <w:r w:rsidR="00A0197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E324941" w14:textId="77777777" w:rsidR="000F729C" w:rsidRDefault="000F729C" w:rsidP="000F729C">
      <w:pPr>
        <w:pStyle w:val="NoSpacing"/>
        <w:rPr>
          <w:rFonts w:eastAsia="Times New Roman" w:cstheme="minorHAnsi"/>
          <w:b/>
          <w:bCs/>
          <w:color w:val="3C3C3C"/>
          <w:spacing w:val="-2"/>
          <w:sz w:val="24"/>
          <w:szCs w:val="24"/>
          <w:u w:val="single"/>
        </w:rPr>
      </w:pPr>
    </w:p>
    <w:p w14:paraId="2C81EB1C" w14:textId="1DD1F538" w:rsidR="000F729C" w:rsidRPr="004C7C98" w:rsidRDefault="009A4F45" w:rsidP="00A01972">
      <w:pPr>
        <w:pStyle w:val="NoSpacing"/>
        <w:ind w:firstLine="360"/>
        <w:rPr>
          <w:rFonts w:eastAsia="Times New Roman"/>
          <w:b/>
          <w:bCs/>
          <w:sz w:val="24"/>
          <w:szCs w:val="24"/>
          <w:u w:val="single"/>
        </w:rPr>
      </w:pPr>
      <w:r w:rsidRPr="000F729C">
        <w:rPr>
          <w:rFonts w:eastAsia="Times New Roman" w:cstheme="minorHAnsi"/>
          <w:b/>
          <w:bCs/>
          <w:color w:val="3C3C3C"/>
          <w:spacing w:val="-2"/>
          <w:sz w:val="24"/>
          <w:szCs w:val="24"/>
          <w:u w:val="single"/>
        </w:rPr>
        <w:t>Resource</w:t>
      </w:r>
      <w:r w:rsidR="000F729C" w:rsidRPr="000F729C">
        <w:rPr>
          <w:rFonts w:eastAsia="Times New Roman" w:cstheme="minorHAnsi"/>
          <w:b/>
          <w:bCs/>
          <w:color w:val="3C3C3C"/>
          <w:spacing w:val="-2"/>
          <w:sz w:val="24"/>
          <w:szCs w:val="24"/>
          <w:u w:val="single"/>
        </w:rPr>
        <w:t xml:space="preserve"> for </w:t>
      </w:r>
      <w:r w:rsidR="000F729C" w:rsidRPr="000F729C">
        <w:rPr>
          <w:rFonts w:eastAsia="Times New Roman"/>
          <w:b/>
          <w:bCs/>
          <w:sz w:val="24"/>
          <w:szCs w:val="24"/>
          <w:u w:val="single"/>
        </w:rPr>
        <w:t xml:space="preserve">Option </w:t>
      </w:r>
      <w:r w:rsidR="00F86CA4">
        <w:rPr>
          <w:rFonts w:eastAsia="Times New Roman"/>
          <w:b/>
          <w:bCs/>
          <w:sz w:val="24"/>
          <w:szCs w:val="24"/>
          <w:u w:val="single"/>
        </w:rPr>
        <w:t>1</w:t>
      </w:r>
      <w:r w:rsidR="000F729C" w:rsidRPr="000F729C">
        <w:rPr>
          <w:rFonts w:eastAsia="Times New Roman"/>
          <w:b/>
          <w:bCs/>
          <w:sz w:val="24"/>
          <w:szCs w:val="24"/>
          <w:u w:val="single"/>
        </w:rPr>
        <w:t>: Genogram Activity</w:t>
      </w:r>
    </w:p>
    <w:p w14:paraId="0ABD6E2B" w14:textId="2B54D829" w:rsidR="000F729C" w:rsidRPr="004E5CFD" w:rsidRDefault="000F729C" w:rsidP="00A01972">
      <w:pPr>
        <w:pStyle w:val="NoSpacing"/>
        <w:ind w:left="360"/>
        <w:rPr>
          <w:sz w:val="24"/>
          <w:szCs w:val="24"/>
        </w:rPr>
      </w:pPr>
      <w:r w:rsidRPr="004E5CFD">
        <w:rPr>
          <w:rFonts w:cstheme="minorHAnsi"/>
          <w:sz w:val="24"/>
          <w:szCs w:val="24"/>
        </w:rPr>
        <w:t xml:space="preserve">This resource section is provided to aid the post-activity supervisor/coach discussion with their child welfare professional after completion of Option </w:t>
      </w:r>
      <w:r>
        <w:rPr>
          <w:rFonts w:cstheme="minorHAnsi"/>
          <w:sz w:val="24"/>
          <w:szCs w:val="24"/>
        </w:rPr>
        <w:t>2</w:t>
      </w:r>
      <w:r w:rsidRPr="004E5CFD">
        <w:rPr>
          <w:rFonts w:cstheme="minorHAnsi"/>
          <w:sz w:val="24"/>
          <w:szCs w:val="24"/>
        </w:rPr>
        <w:t xml:space="preserve"> related to the </w:t>
      </w:r>
      <w:r>
        <w:rPr>
          <w:rFonts w:cstheme="minorHAnsi"/>
          <w:sz w:val="24"/>
          <w:szCs w:val="24"/>
        </w:rPr>
        <w:t>development of a Genogram</w:t>
      </w:r>
      <w:r w:rsidRPr="004E5CFD">
        <w:rPr>
          <w:rFonts w:cstheme="minorHAnsi"/>
          <w:sz w:val="24"/>
          <w:szCs w:val="24"/>
        </w:rPr>
        <w:t xml:space="preserve"> </w:t>
      </w:r>
      <w:r w:rsidR="00A01972">
        <w:rPr>
          <w:rFonts w:cstheme="minorHAnsi"/>
          <w:sz w:val="24"/>
          <w:szCs w:val="24"/>
        </w:rPr>
        <w:t>A</w:t>
      </w:r>
      <w:r w:rsidRPr="004E5CFD">
        <w:rPr>
          <w:rFonts w:cstheme="minorHAnsi"/>
          <w:sz w:val="24"/>
          <w:szCs w:val="24"/>
        </w:rPr>
        <w:t xml:space="preserve">ctivity.   </w:t>
      </w:r>
    </w:p>
    <w:p w14:paraId="11822630" w14:textId="77777777" w:rsidR="000F729C" w:rsidRDefault="000F729C" w:rsidP="000F729C">
      <w:pPr>
        <w:pStyle w:val="NoSpacing"/>
        <w:rPr>
          <w:rFonts w:eastAsia="Times New Roman"/>
          <w:sz w:val="24"/>
          <w:szCs w:val="24"/>
        </w:rPr>
      </w:pPr>
    </w:p>
    <w:p w14:paraId="589018D1" w14:textId="6ED089D7" w:rsidR="009A4F45" w:rsidRPr="000F729C" w:rsidRDefault="009A4F45" w:rsidP="00A01972">
      <w:pPr>
        <w:pStyle w:val="NoSpacing"/>
        <w:ind w:left="360"/>
        <w:rPr>
          <w:rFonts w:eastAsia="Times New Roman"/>
          <w:sz w:val="24"/>
          <w:szCs w:val="24"/>
        </w:rPr>
      </w:pPr>
      <w:r w:rsidRPr="000F729C">
        <w:rPr>
          <w:rFonts w:eastAsia="Times New Roman"/>
          <w:sz w:val="24"/>
          <w:szCs w:val="24"/>
        </w:rPr>
        <w:t xml:space="preserve">A Genogram, along with the other tools, allows </w:t>
      </w:r>
      <w:r w:rsidR="000F729C" w:rsidRPr="000F729C">
        <w:rPr>
          <w:rFonts w:eastAsia="Times New Roman"/>
          <w:sz w:val="24"/>
          <w:szCs w:val="24"/>
        </w:rPr>
        <w:t xml:space="preserve">the child welfare professional an opportunity to engage </w:t>
      </w:r>
      <w:r w:rsidRPr="000F729C">
        <w:rPr>
          <w:rFonts w:eastAsia="Times New Roman"/>
          <w:sz w:val="24"/>
          <w:szCs w:val="24"/>
        </w:rPr>
        <w:t>with the child</w:t>
      </w:r>
      <w:r w:rsidR="000F729C" w:rsidRPr="000F729C">
        <w:rPr>
          <w:rFonts w:eastAsia="Times New Roman"/>
          <w:sz w:val="24"/>
          <w:szCs w:val="24"/>
        </w:rPr>
        <w:t>/youth and</w:t>
      </w:r>
      <w:r w:rsidRPr="000F729C">
        <w:rPr>
          <w:rFonts w:eastAsia="Times New Roman"/>
          <w:sz w:val="24"/>
          <w:szCs w:val="24"/>
        </w:rPr>
        <w:t xml:space="preserve"> discover connections with adults in their lives, </w:t>
      </w:r>
      <w:r w:rsidR="000F729C" w:rsidRPr="000F729C">
        <w:rPr>
          <w:rFonts w:eastAsia="Times New Roman"/>
          <w:sz w:val="24"/>
          <w:szCs w:val="24"/>
        </w:rPr>
        <w:t>giving</w:t>
      </w:r>
      <w:r w:rsidRPr="000F729C">
        <w:rPr>
          <w:rFonts w:eastAsia="Times New Roman"/>
          <w:sz w:val="24"/>
          <w:szCs w:val="24"/>
        </w:rPr>
        <w:t xml:space="preserve"> the child the opportunity to participate in their permanency plan.</w:t>
      </w:r>
    </w:p>
    <w:p w14:paraId="3B9A90BE" w14:textId="77777777" w:rsidR="000F729C" w:rsidRDefault="000F729C" w:rsidP="000F729C">
      <w:pPr>
        <w:pStyle w:val="NoSpacing"/>
        <w:rPr>
          <w:rFonts w:eastAsia="Times New Roman" w:cstheme="minorHAnsi"/>
          <w:color w:val="3C3C3C"/>
          <w:spacing w:val="-2"/>
          <w:sz w:val="24"/>
          <w:szCs w:val="24"/>
        </w:rPr>
      </w:pPr>
    </w:p>
    <w:p w14:paraId="5F7F6EC2" w14:textId="57994600" w:rsidR="000F729C" w:rsidRPr="000F729C" w:rsidRDefault="009A4F45" w:rsidP="00A01972">
      <w:pPr>
        <w:widowControl w:val="0"/>
        <w:autoSpaceDE w:val="0"/>
        <w:autoSpaceDN w:val="0"/>
        <w:adjustRightInd w:val="0"/>
        <w:spacing w:after="8" w:line="240" w:lineRule="auto"/>
        <w:ind w:firstLine="360"/>
        <w:rPr>
          <w:sz w:val="24"/>
          <w:szCs w:val="24"/>
        </w:rPr>
      </w:pPr>
      <w:r w:rsidRPr="000F729C">
        <w:rPr>
          <w:rFonts w:cstheme="minorHAnsi"/>
          <w:color w:val="3C3C3C"/>
          <w:spacing w:val="-2"/>
          <w:sz w:val="24"/>
          <w:szCs w:val="24"/>
        </w:rPr>
        <w:t xml:space="preserve">The website </w:t>
      </w:r>
      <w:r w:rsidR="000F729C" w:rsidRPr="00645760">
        <w:rPr>
          <w:b/>
          <w:bCs/>
          <w:sz w:val="24"/>
          <w:szCs w:val="24"/>
        </w:rPr>
        <w:t>GenoPro</w:t>
      </w:r>
      <w:r w:rsidR="000F729C" w:rsidRPr="000F729C">
        <w:rPr>
          <w:sz w:val="24"/>
          <w:szCs w:val="24"/>
        </w:rPr>
        <w:t xml:space="preserve">: </w:t>
      </w:r>
      <w:hyperlink r:id="rId8" w:history="1">
        <w:r w:rsidR="000F729C" w:rsidRPr="000F729C">
          <w:rPr>
            <w:rStyle w:val="Hyperlink"/>
            <w:sz w:val="24"/>
            <w:szCs w:val="24"/>
          </w:rPr>
          <w:t>https://genopro.com/genogram/</w:t>
        </w:r>
      </w:hyperlink>
      <w:r w:rsidR="000F729C">
        <w:rPr>
          <w:sz w:val="24"/>
          <w:szCs w:val="24"/>
        </w:rPr>
        <w:t xml:space="preserve"> (mentioned in the activity above)</w:t>
      </w:r>
    </w:p>
    <w:p w14:paraId="2BE36830" w14:textId="77777777" w:rsidR="000F729C" w:rsidRDefault="000F729C" w:rsidP="00A01972">
      <w:pPr>
        <w:pStyle w:val="NoSpacing"/>
        <w:ind w:firstLine="360"/>
        <w:rPr>
          <w:rFonts w:eastAsia="Times New Roman" w:cstheme="minorHAnsi"/>
          <w:color w:val="3C3C3C"/>
          <w:spacing w:val="-2"/>
          <w:sz w:val="24"/>
          <w:szCs w:val="24"/>
        </w:rPr>
      </w:pPr>
      <w:r>
        <w:rPr>
          <w:rFonts w:eastAsia="Times New Roman" w:cstheme="minorHAnsi"/>
          <w:color w:val="3C3C3C"/>
          <w:spacing w:val="-2"/>
          <w:sz w:val="24"/>
          <w:szCs w:val="24"/>
        </w:rPr>
        <w:t>provides</w:t>
      </w:r>
      <w:r w:rsidR="009A4F45" w:rsidRPr="000F729C">
        <w:rPr>
          <w:rFonts w:eastAsia="Times New Roman" w:cstheme="minorHAnsi"/>
          <w:color w:val="3C3C3C"/>
          <w:spacing w:val="-2"/>
          <w:sz w:val="24"/>
          <w:szCs w:val="24"/>
        </w:rPr>
        <w:t xml:space="preserve"> examples of different types of genograms and how they can be used in practice.  </w:t>
      </w:r>
    </w:p>
    <w:p w14:paraId="5A36D4E8" w14:textId="77777777" w:rsidR="000F729C" w:rsidRDefault="000F729C" w:rsidP="000F729C">
      <w:pPr>
        <w:pStyle w:val="NoSpacing"/>
        <w:rPr>
          <w:rFonts w:eastAsia="Times New Roman" w:cstheme="minorHAnsi"/>
          <w:color w:val="3C3C3C"/>
          <w:spacing w:val="-2"/>
          <w:sz w:val="24"/>
          <w:szCs w:val="24"/>
        </w:rPr>
      </w:pPr>
    </w:p>
    <w:p w14:paraId="2B14FD64" w14:textId="34287229" w:rsidR="009A4F45" w:rsidRPr="000F729C" w:rsidRDefault="009A4F45" w:rsidP="00A01972">
      <w:pPr>
        <w:pStyle w:val="NoSpacing"/>
        <w:ind w:left="360"/>
        <w:rPr>
          <w:rFonts w:eastAsia="Times New Roman" w:cstheme="minorHAnsi"/>
          <w:color w:val="3C3C3C"/>
          <w:spacing w:val="-2"/>
          <w:sz w:val="24"/>
          <w:szCs w:val="24"/>
        </w:rPr>
      </w:pPr>
      <w:r w:rsidRPr="000F729C">
        <w:rPr>
          <w:rFonts w:eastAsia="Times New Roman" w:cstheme="minorHAnsi"/>
          <w:color w:val="3C3C3C"/>
          <w:spacing w:val="-2"/>
          <w:sz w:val="24"/>
          <w:szCs w:val="24"/>
        </w:rPr>
        <w:t xml:space="preserve">Discuss the tools your agency uses to discover family connections for </w:t>
      </w:r>
      <w:r w:rsidR="00A56B6C">
        <w:rPr>
          <w:rFonts w:eastAsia="Times New Roman" w:cstheme="minorHAnsi"/>
          <w:color w:val="3C3C3C"/>
          <w:spacing w:val="-2"/>
          <w:sz w:val="24"/>
          <w:szCs w:val="24"/>
        </w:rPr>
        <w:t xml:space="preserve">children and </w:t>
      </w:r>
      <w:r w:rsidRPr="000F729C">
        <w:rPr>
          <w:rFonts w:eastAsia="Times New Roman" w:cstheme="minorHAnsi"/>
          <w:color w:val="3C3C3C"/>
          <w:spacing w:val="-2"/>
          <w:sz w:val="24"/>
          <w:szCs w:val="24"/>
        </w:rPr>
        <w:t xml:space="preserve">youth in out-of-home care.  </w:t>
      </w:r>
    </w:p>
    <w:p w14:paraId="5F49BBA5" w14:textId="77777777" w:rsidR="009A4F45" w:rsidRPr="00BF55E8" w:rsidRDefault="009A4F45" w:rsidP="009A4F45">
      <w:pPr>
        <w:spacing w:after="360" w:line="240" w:lineRule="auto"/>
        <w:rPr>
          <w:rFonts w:ascii="Arial" w:eastAsia="Times New Roman" w:hAnsi="Arial" w:cs="Arial"/>
          <w:color w:val="3C3C3C"/>
          <w:spacing w:val="-2"/>
          <w:sz w:val="26"/>
          <w:szCs w:val="26"/>
        </w:rPr>
      </w:pPr>
    </w:p>
    <w:p w14:paraId="2AB08C5F" w14:textId="77777777" w:rsidR="009A4F45" w:rsidRDefault="009A4F45" w:rsidP="009A4F45"/>
    <w:p w14:paraId="5205F3C6" w14:textId="77777777" w:rsidR="009A4F45" w:rsidRPr="00D649FA" w:rsidRDefault="009A4F45" w:rsidP="009A4F45">
      <w:pPr>
        <w:widowControl w:val="0"/>
        <w:autoSpaceDE w:val="0"/>
        <w:autoSpaceDN w:val="0"/>
        <w:adjustRightInd w:val="0"/>
        <w:spacing w:before="6" w:after="0" w:line="252" w:lineRule="auto"/>
        <w:rPr>
          <w:rFonts w:ascii="Calibri" w:hAnsi="Calibri" w:cs="Calibri"/>
          <w:sz w:val="24"/>
          <w:szCs w:val="24"/>
        </w:rPr>
      </w:pPr>
    </w:p>
    <w:p w14:paraId="4965D5E9" w14:textId="77777777" w:rsidR="009A4F45" w:rsidRDefault="009A4F45" w:rsidP="009A4F45">
      <w:pPr>
        <w:widowControl w:val="0"/>
        <w:autoSpaceDE w:val="0"/>
        <w:autoSpaceDN w:val="0"/>
        <w:adjustRightInd w:val="0"/>
        <w:spacing w:before="6" w:after="0" w:line="252" w:lineRule="auto"/>
        <w:rPr>
          <w:rFonts w:ascii="Open Sans" w:hAnsi="Open Sans" w:cs="Open Sans"/>
          <w:sz w:val="16"/>
          <w:szCs w:val="16"/>
        </w:rPr>
      </w:pPr>
    </w:p>
    <w:p w14:paraId="62CC2375" w14:textId="77777777" w:rsidR="009A4F45" w:rsidRDefault="009A4F45" w:rsidP="009A4F45">
      <w:pPr>
        <w:widowControl w:val="0"/>
        <w:autoSpaceDE w:val="0"/>
        <w:autoSpaceDN w:val="0"/>
        <w:adjustRightInd w:val="0"/>
        <w:spacing w:before="6" w:after="0" w:line="252" w:lineRule="auto"/>
        <w:rPr>
          <w:rFonts w:ascii="Open Sans" w:hAnsi="Open Sans" w:cs="Open Sans"/>
          <w:sz w:val="16"/>
          <w:szCs w:val="16"/>
        </w:rPr>
      </w:pPr>
    </w:p>
    <w:p w14:paraId="4C793B36" w14:textId="77777777" w:rsidR="009A4F45" w:rsidRDefault="009A4F45" w:rsidP="009A4F45">
      <w:pPr>
        <w:widowControl w:val="0"/>
        <w:autoSpaceDE w:val="0"/>
        <w:autoSpaceDN w:val="0"/>
        <w:adjustRightInd w:val="0"/>
        <w:spacing w:before="6" w:after="0" w:line="252" w:lineRule="auto"/>
        <w:rPr>
          <w:rFonts w:ascii="Open Sans" w:hAnsi="Open Sans" w:cs="Open Sans"/>
          <w:sz w:val="16"/>
          <w:szCs w:val="16"/>
        </w:rPr>
      </w:pPr>
    </w:p>
    <w:p w14:paraId="205F9336" w14:textId="77777777" w:rsidR="009A4F45" w:rsidRPr="00D649FA" w:rsidRDefault="009A4F45" w:rsidP="009A4F45">
      <w:pPr>
        <w:rPr>
          <w:rFonts w:ascii="Calibri" w:hAnsi="Calibri" w:cs="Calibri"/>
        </w:rPr>
      </w:pPr>
    </w:p>
    <w:p w14:paraId="3F13B43B" w14:textId="77777777" w:rsidR="009A4F45" w:rsidRDefault="009A4F45"/>
    <w:sectPr w:rsidR="009A4F45" w:rsidSect="00F86CA4"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784F" w14:textId="77777777" w:rsidR="00665409" w:rsidRDefault="00665409" w:rsidP="00FD11F4">
      <w:pPr>
        <w:spacing w:after="0" w:line="240" w:lineRule="auto"/>
      </w:pPr>
      <w:r>
        <w:separator/>
      </w:r>
    </w:p>
  </w:endnote>
  <w:endnote w:type="continuationSeparator" w:id="0">
    <w:p w14:paraId="00202041" w14:textId="77777777" w:rsidR="00665409" w:rsidRDefault="00665409" w:rsidP="00FD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6B15" w14:textId="45F8FE42" w:rsidR="00FD11F4" w:rsidRDefault="00FD11F4">
    <w:pPr>
      <w:pStyle w:val="Footer"/>
      <w:jc w:val="right"/>
    </w:pPr>
  </w:p>
  <w:p w14:paraId="6902E55F" w14:textId="5EC8EFED" w:rsidR="003E06CC" w:rsidRPr="00407984" w:rsidRDefault="003E06CC" w:rsidP="003E06CC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407984">
      <w:rPr>
        <w:rFonts w:eastAsiaTheme="minorEastAsia"/>
      </w:rPr>
      <w:t xml:space="preserve">Pre-Service </w:t>
    </w:r>
    <w:r w:rsidRPr="00407984">
      <w:rPr>
        <w:rFonts w:eastAsiaTheme="minorEastAsia" w:cstheme="minorHAnsi"/>
        <w:bCs/>
      </w:rPr>
      <w:t xml:space="preserve">Module: </w:t>
    </w:r>
    <w:r>
      <w:rPr>
        <w:rFonts w:eastAsiaTheme="minorEastAsia" w:cstheme="minorHAnsi"/>
        <w:bCs/>
      </w:rPr>
      <w:t>Permanence</w:t>
    </w:r>
    <w:r w:rsidRPr="00407984">
      <w:rPr>
        <w:rFonts w:eastAsiaTheme="minorEastAsia" w:cstheme="minorHAnsi"/>
        <w:bCs/>
      </w:rPr>
      <w:t xml:space="preserve">; Section </w:t>
    </w:r>
    <w:r>
      <w:rPr>
        <w:rFonts w:eastAsiaTheme="minorEastAsia" w:cstheme="minorHAnsi"/>
        <w:bCs/>
      </w:rPr>
      <w:t>2</w:t>
    </w:r>
    <w:r w:rsidRPr="00407984">
      <w:rPr>
        <w:rFonts w:eastAsiaTheme="minorEastAsia" w:cstheme="minorHAnsi"/>
        <w:bCs/>
      </w:rPr>
      <w:t xml:space="preserve">: </w:t>
    </w:r>
    <w:r>
      <w:rPr>
        <w:rFonts w:eastAsiaTheme="minorEastAsia" w:cstheme="minorHAnsi"/>
        <w:bCs/>
      </w:rPr>
      <w:t>Permanency Tools and Resources</w:t>
    </w:r>
    <w:r w:rsidRPr="00407984">
      <w:rPr>
        <w:rFonts w:eastAsiaTheme="minorEastAsia"/>
      </w:rPr>
      <w:tab/>
      <w:t xml:space="preserve">Page </w:t>
    </w:r>
    <w:r w:rsidRPr="00407984">
      <w:rPr>
        <w:rFonts w:eastAsiaTheme="minorEastAsia"/>
        <w:b/>
        <w:bCs/>
        <w:sz w:val="24"/>
        <w:szCs w:val="24"/>
      </w:rPr>
      <w:fldChar w:fldCharType="begin"/>
    </w:r>
    <w:r w:rsidRPr="00407984">
      <w:rPr>
        <w:rFonts w:eastAsiaTheme="minorEastAsia"/>
        <w:b/>
        <w:bCs/>
      </w:rPr>
      <w:instrText xml:space="preserve"> PAGE </w:instrText>
    </w:r>
    <w:r w:rsidRPr="00407984">
      <w:rPr>
        <w:rFonts w:eastAsiaTheme="minorEastAsia"/>
        <w:b/>
        <w:bCs/>
        <w:sz w:val="24"/>
        <w:szCs w:val="24"/>
      </w:rPr>
      <w:fldChar w:fldCharType="separate"/>
    </w:r>
    <w:r>
      <w:rPr>
        <w:rFonts w:eastAsiaTheme="minorEastAsia"/>
        <w:b/>
        <w:bCs/>
        <w:sz w:val="24"/>
        <w:szCs w:val="24"/>
      </w:rPr>
      <w:t>1</w:t>
    </w:r>
    <w:r w:rsidRPr="00407984">
      <w:rPr>
        <w:rFonts w:eastAsiaTheme="minorEastAsia"/>
        <w:b/>
        <w:bCs/>
        <w:sz w:val="24"/>
        <w:szCs w:val="24"/>
      </w:rPr>
      <w:fldChar w:fldCharType="end"/>
    </w:r>
    <w:r w:rsidRPr="00407984">
      <w:rPr>
        <w:rFonts w:eastAsiaTheme="minorEastAsia"/>
      </w:rPr>
      <w:t xml:space="preserve"> of </w:t>
    </w:r>
    <w:r w:rsidRPr="00407984">
      <w:rPr>
        <w:rFonts w:eastAsiaTheme="minorEastAsia"/>
        <w:b/>
        <w:bCs/>
        <w:sz w:val="24"/>
        <w:szCs w:val="24"/>
      </w:rPr>
      <w:fldChar w:fldCharType="begin"/>
    </w:r>
    <w:r w:rsidRPr="00407984">
      <w:rPr>
        <w:rFonts w:eastAsiaTheme="minorEastAsia"/>
        <w:b/>
        <w:bCs/>
      </w:rPr>
      <w:instrText xml:space="preserve"> NUMPAGES  </w:instrText>
    </w:r>
    <w:r w:rsidRPr="00407984">
      <w:rPr>
        <w:rFonts w:eastAsiaTheme="minorEastAsia"/>
        <w:b/>
        <w:bCs/>
        <w:sz w:val="24"/>
        <w:szCs w:val="24"/>
      </w:rPr>
      <w:fldChar w:fldCharType="separate"/>
    </w:r>
    <w:r>
      <w:rPr>
        <w:rFonts w:eastAsiaTheme="minorEastAsia"/>
        <w:b/>
        <w:bCs/>
        <w:sz w:val="24"/>
        <w:szCs w:val="24"/>
      </w:rPr>
      <w:t>5</w:t>
    </w:r>
    <w:r w:rsidRPr="00407984">
      <w:rPr>
        <w:rFonts w:eastAsiaTheme="minorEastAsia"/>
        <w:b/>
        <w:bCs/>
        <w:sz w:val="24"/>
        <w:szCs w:val="24"/>
      </w:rPr>
      <w:fldChar w:fldCharType="end"/>
    </w:r>
  </w:p>
  <w:p w14:paraId="08853EEA" w14:textId="77777777" w:rsidR="00FD11F4" w:rsidRDefault="00FD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411D" w14:textId="77777777" w:rsidR="00665409" w:rsidRDefault="00665409" w:rsidP="00FD11F4">
      <w:pPr>
        <w:spacing w:after="0" w:line="240" w:lineRule="auto"/>
      </w:pPr>
      <w:r>
        <w:separator/>
      </w:r>
    </w:p>
  </w:footnote>
  <w:footnote w:type="continuationSeparator" w:id="0">
    <w:p w14:paraId="6F8604F9" w14:textId="77777777" w:rsidR="00665409" w:rsidRDefault="00665409" w:rsidP="00FD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78"/>
    <w:multiLevelType w:val="hybridMultilevel"/>
    <w:tmpl w:val="FC82D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51FB"/>
    <w:multiLevelType w:val="hybridMultilevel"/>
    <w:tmpl w:val="85EC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90E"/>
    <w:multiLevelType w:val="hybridMultilevel"/>
    <w:tmpl w:val="14A458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01C8"/>
    <w:multiLevelType w:val="hybridMultilevel"/>
    <w:tmpl w:val="02DA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7EB8"/>
    <w:multiLevelType w:val="hybridMultilevel"/>
    <w:tmpl w:val="7AB2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6ABD"/>
    <w:multiLevelType w:val="hybridMultilevel"/>
    <w:tmpl w:val="6784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08B8"/>
    <w:multiLevelType w:val="hybridMultilevel"/>
    <w:tmpl w:val="5356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462B2"/>
    <w:multiLevelType w:val="hybridMultilevel"/>
    <w:tmpl w:val="0C380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C6E60"/>
    <w:multiLevelType w:val="multilevel"/>
    <w:tmpl w:val="6D7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403126"/>
    <w:multiLevelType w:val="hybridMultilevel"/>
    <w:tmpl w:val="77F8FE00"/>
    <w:lvl w:ilvl="0" w:tplc="7A0EE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1168">
    <w:abstractNumId w:val="3"/>
  </w:num>
  <w:num w:numId="2" w16cid:durableId="845557149">
    <w:abstractNumId w:val="1"/>
  </w:num>
  <w:num w:numId="3" w16cid:durableId="1372458929">
    <w:abstractNumId w:val="6"/>
  </w:num>
  <w:num w:numId="4" w16cid:durableId="691762475">
    <w:abstractNumId w:val="8"/>
  </w:num>
  <w:num w:numId="5" w16cid:durableId="344358339">
    <w:abstractNumId w:val="4"/>
  </w:num>
  <w:num w:numId="6" w16cid:durableId="458493503">
    <w:abstractNumId w:val="0"/>
  </w:num>
  <w:num w:numId="7" w16cid:durableId="752627149">
    <w:abstractNumId w:val="5"/>
  </w:num>
  <w:num w:numId="8" w16cid:durableId="22174909">
    <w:abstractNumId w:val="7"/>
  </w:num>
  <w:num w:numId="9" w16cid:durableId="764308261">
    <w:abstractNumId w:val="9"/>
  </w:num>
  <w:num w:numId="10" w16cid:durableId="120410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45"/>
    <w:rsid w:val="000F729C"/>
    <w:rsid w:val="00145DD5"/>
    <w:rsid w:val="001F4420"/>
    <w:rsid w:val="0032639E"/>
    <w:rsid w:val="00343417"/>
    <w:rsid w:val="003E06CC"/>
    <w:rsid w:val="004C7C98"/>
    <w:rsid w:val="005F2CC0"/>
    <w:rsid w:val="00645760"/>
    <w:rsid w:val="00665409"/>
    <w:rsid w:val="007B4C4A"/>
    <w:rsid w:val="007D5A1C"/>
    <w:rsid w:val="00826519"/>
    <w:rsid w:val="00857DDD"/>
    <w:rsid w:val="009A4F45"/>
    <w:rsid w:val="00A01972"/>
    <w:rsid w:val="00A56B6C"/>
    <w:rsid w:val="00AB35FE"/>
    <w:rsid w:val="00B07E7E"/>
    <w:rsid w:val="00B900A7"/>
    <w:rsid w:val="00B97460"/>
    <w:rsid w:val="00C91D24"/>
    <w:rsid w:val="00CA0948"/>
    <w:rsid w:val="00D958DC"/>
    <w:rsid w:val="00DE7990"/>
    <w:rsid w:val="00EF3BE2"/>
    <w:rsid w:val="00F307D1"/>
    <w:rsid w:val="00F86CA4"/>
    <w:rsid w:val="00F94AA7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71DF"/>
  <w15:chartTrackingRefBased/>
  <w15:docId w15:val="{55543E14-973D-4FC1-9FA8-E3453C7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4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A4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F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4F4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F4"/>
  </w:style>
  <w:style w:type="paragraph" w:styleId="Footer">
    <w:name w:val="footer"/>
    <w:basedOn w:val="Normal"/>
    <w:link w:val="FooterChar"/>
    <w:uiPriority w:val="99"/>
    <w:unhideWhenUsed/>
    <w:rsid w:val="00FD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F4"/>
  </w:style>
  <w:style w:type="table" w:styleId="TableGrid">
    <w:name w:val="Table Grid"/>
    <w:basedOn w:val="TableNormal"/>
    <w:uiPriority w:val="39"/>
    <w:rsid w:val="00B9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5A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1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opro.com/gen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opro.com/gen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 BOWE</dc:creator>
  <cp:keywords/>
  <dc:description/>
  <cp:lastModifiedBy>STEPHANIE J REILLY</cp:lastModifiedBy>
  <cp:revision>3</cp:revision>
  <cp:lastPrinted>2021-10-12T14:18:00Z</cp:lastPrinted>
  <dcterms:created xsi:type="dcterms:W3CDTF">2023-01-03T04:10:00Z</dcterms:created>
  <dcterms:modified xsi:type="dcterms:W3CDTF">2023-01-03T05:28:00Z</dcterms:modified>
</cp:coreProperties>
</file>