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BE5D" w14:textId="7EB43425" w:rsidR="005F5D3C" w:rsidRPr="00766C1E" w:rsidRDefault="00C65395" w:rsidP="00D40F06">
      <w:pPr>
        <w:pStyle w:val="NoSpacing"/>
        <w:rPr>
          <w:b/>
          <w:bCs/>
          <w:sz w:val="28"/>
          <w:szCs w:val="28"/>
        </w:rPr>
      </w:pPr>
      <w:r>
        <w:rPr>
          <w:b/>
          <w:bCs/>
          <w:sz w:val="28"/>
          <w:szCs w:val="28"/>
        </w:rPr>
        <w:t xml:space="preserve">Pre-Service </w:t>
      </w:r>
      <w:r w:rsidR="005F5D3C" w:rsidRPr="00766C1E">
        <w:rPr>
          <w:b/>
          <w:bCs/>
          <w:sz w:val="28"/>
          <w:szCs w:val="28"/>
        </w:rPr>
        <w:t xml:space="preserve">Module: Trauma </w:t>
      </w:r>
    </w:p>
    <w:p w14:paraId="2BDF371A" w14:textId="319C9A8C" w:rsidR="00766C1E" w:rsidRPr="00766C1E" w:rsidRDefault="005F5D3C" w:rsidP="00D40F06">
      <w:pPr>
        <w:pStyle w:val="NoSpacing"/>
        <w:rPr>
          <w:b/>
          <w:bCs/>
          <w:sz w:val="28"/>
          <w:szCs w:val="28"/>
        </w:rPr>
      </w:pPr>
      <w:r w:rsidRPr="00766C1E">
        <w:rPr>
          <w:b/>
          <w:bCs/>
          <w:sz w:val="28"/>
          <w:szCs w:val="28"/>
        </w:rPr>
        <w:t>Section</w:t>
      </w:r>
      <w:r w:rsidR="00024FBD">
        <w:rPr>
          <w:b/>
          <w:bCs/>
          <w:sz w:val="28"/>
          <w:szCs w:val="28"/>
        </w:rPr>
        <w:t xml:space="preserve"> 1: </w:t>
      </w:r>
      <w:r w:rsidR="00E02B7F" w:rsidRPr="00766C1E">
        <w:rPr>
          <w:b/>
          <w:bCs/>
          <w:sz w:val="28"/>
          <w:szCs w:val="28"/>
        </w:rPr>
        <w:t>Trauma</w:t>
      </w:r>
    </w:p>
    <w:p w14:paraId="4A27FD4A" w14:textId="53BA4468" w:rsidR="005F5D3C" w:rsidRPr="00024FBD" w:rsidRDefault="00E02B7F" w:rsidP="00D40F06">
      <w:pPr>
        <w:pStyle w:val="NoSpacing"/>
        <w:rPr>
          <w:b/>
          <w:bCs/>
          <w:sz w:val="24"/>
          <w:szCs w:val="24"/>
          <w:u w:val="single"/>
        </w:rPr>
      </w:pPr>
      <w:r w:rsidRPr="00D40F06">
        <w:rPr>
          <w:b/>
          <w:bCs/>
          <w:sz w:val="28"/>
          <w:szCs w:val="28"/>
          <w:u w:val="single"/>
        </w:rPr>
        <w:t xml:space="preserve"> </w:t>
      </w:r>
    </w:p>
    <w:p w14:paraId="2C519D86" w14:textId="77777777" w:rsidR="00766C1E" w:rsidRPr="00024FBD" w:rsidRDefault="00766C1E" w:rsidP="00766C1E">
      <w:pPr>
        <w:pStyle w:val="NoSpacing"/>
        <w:rPr>
          <w:b/>
          <w:bCs/>
          <w:sz w:val="24"/>
          <w:szCs w:val="24"/>
        </w:rPr>
      </w:pPr>
      <w:r w:rsidRPr="00024FBD">
        <w:rPr>
          <w:b/>
          <w:bCs/>
          <w:sz w:val="24"/>
          <w:szCs w:val="24"/>
        </w:rPr>
        <w:t>Section Learning Objectives</w:t>
      </w:r>
    </w:p>
    <w:p w14:paraId="5214DAE5" w14:textId="2F85860B" w:rsidR="00766C1E" w:rsidRPr="0058715F" w:rsidRDefault="00766C1E" w:rsidP="00766C1E">
      <w:pPr>
        <w:pStyle w:val="NoSpacing"/>
        <w:rPr>
          <w:sz w:val="24"/>
          <w:szCs w:val="24"/>
        </w:rPr>
      </w:pPr>
      <w:bookmarkStart w:id="0" w:name="_Hlk121146627"/>
      <w:r w:rsidRPr="0058715F">
        <w:rPr>
          <w:sz w:val="24"/>
          <w:szCs w:val="24"/>
        </w:rPr>
        <w:t xml:space="preserve">By the end of Section </w:t>
      </w:r>
      <w:r>
        <w:rPr>
          <w:sz w:val="24"/>
          <w:szCs w:val="24"/>
        </w:rPr>
        <w:t>1</w:t>
      </w:r>
      <w:r w:rsidRPr="0058715F">
        <w:rPr>
          <w:sz w:val="24"/>
          <w:szCs w:val="24"/>
        </w:rPr>
        <w:t xml:space="preserve">: </w:t>
      </w:r>
      <w:r>
        <w:rPr>
          <w:sz w:val="24"/>
          <w:szCs w:val="24"/>
        </w:rPr>
        <w:t>Trauma</w:t>
      </w:r>
      <w:r w:rsidRPr="0058715F">
        <w:rPr>
          <w:sz w:val="24"/>
          <w:szCs w:val="24"/>
        </w:rPr>
        <w:t xml:space="preserve">, child welfare professionals will </w:t>
      </w:r>
      <w:r w:rsidR="00C65395">
        <w:rPr>
          <w:sz w:val="24"/>
          <w:szCs w:val="24"/>
        </w:rPr>
        <w:t>understand</w:t>
      </w:r>
      <w:r w:rsidRPr="0058715F">
        <w:rPr>
          <w:sz w:val="24"/>
          <w:szCs w:val="24"/>
        </w:rPr>
        <w:t xml:space="preserve">: </w:t>
      </w:r>
    </w:p>
    <w:bookmarkEnd w:id="0"/>
    <w:p w14:paraId="19EE3FEE" w14:textId="55B46DBF" w:rsidR="00E02B7F" w:rsidRPr="00766C1E" w:rsidRDefault="00766C1E" w:rsidP="00766C1E">
      <w:pPr>
        <w:pStyle w:val="NoSpacing"/>
        <w:numPr>
          <w:ilvl w:val="0"/>
          <w:numId w:val="3"/>
        </w:numPr>
        <w:rPr>
          <w:rFonts w:ascii="Calibri" w:hAnsi="Calibri" w:cs="Calibri"/>
          <w:sz w:val="24"/>
          <w:szCs w:val="24"/>
        </w:rPr>
      </w:pPr>
      <w:r>
        <w:rPr>
          <w:rFonts w:ascii="Calibri" w:hAnsi="Calibri" w:cs="Calibri"/>
          <w:sz w:val="24"/>
          <w:szCs w:val="24"/>
        </w:rPr>
        <w:t>W</w:t>
      </w:r>
      <w:r w:rsidR="00E02B7F" w:rsidRPr="00766C1E">
        <w:rPr>
          <w:rFonts w:ascii="Calibri" w:hAnsi="Calibri" w:cs="Calibri"/>
          <w:sz w:val="24"/>
          <w:szCs w:val="24"/>
        </w:rPr>
        <w:t xml:space="preserve">hat trauma is </w:t>
      </w:r>
    </w:p>
    <w:p w14:paraId="641753E4" w14:textId="264E0F92" w:rsidR="00E02B7F" w:rsidRPr="00766C1E" w:rsidRDefault="00766C1E" w:rsidP="00766C1E">
      <w:pPr>
        <w:pStyle w:val="NoSpacing"/>
        <w:numPr>
          <w:ilvl w:val="0"/>
          <w:numId w:val="3"/>
        </w:numPr>
        <w:rPr>
          <w:rFonts w:ascii="Calibri" w:hAnsi="Calibri" w:cs="Calibri"/>
          <w:sz w:val="24"/>
          <w:szCs w:val="24"/>
        </w:rPr>
      </w:pPr>
      <w:r>
        <w:rPr>
          <w:rFonts w:ascii="Calibri" w:hAnsi="Calibri" w:cs="Calibri"/>
          <w:sz w:val="24"/>
          <w:szCs w:val="24"/>
        </w:rPr>
        <w:t>H</w:t>
      </w:r>
      <w:r w:rsidR="00E02B7F" w:rsidRPr="00766C1E">
        <w:rPr>
          <w:rFonts w:ascii="Calibri" w:hAnsi="Calibri" w:cs="Calibri"/>
          <w:sz w:val="24"/>
          <w:szCs w:val="24"/>
        </w:rPr>
        <w:t xml:space="preserve">ow childhood trauma impacts children, </w:t>
      </w:r>
      <w:r w:rsidR="0039257B" w:rsidRPr="00766C1E">
        <w:rPr>
          <w:rFonts w:ascii="Calibri" w:hAnsi="Calibri" w:cs="Calibri"/>
          <w:sz w:val="24"/>
          <w:szCs w:val="24"/>
        </w:rPr>
        <w:t>youth,</w:t>
      </w:r>
      <w:r w:rsidR="00E02B7F" w:rsidRPr="00766C1E">
        <w:rPr>
          <w:rFonts w:ascii="Calibri" w:hAnsi="Calibri" w:cs="Calibri"/>
          <w:sz w:val="24"/>
          <w:szCs w:val="24"/>
        </w:rPr>
        <w:t xml:space="preserve"> and adults</w:t>
      </w:r>
    </w:p>
    <w:p w14:paraId="6DFA4823" w14:textId="6ED3B48E" w:rsidR="00E02B7F" w:rsidRPr="00766C1E" w:rsidRDefault="00766C1E" w:rsidP="00766C1E">
      <w:pPr>
        <w:pStyle w:val="NoSpacing"/>
        <w:numPr>
          <w:ilvl w:val="0"/>
          <w:numId w:val="3"/>
        </w:numPr>
        <w:rPr>
          <w:rFonts w:ascii="Calibri" w:hAnsi="Calibri" w:cs="Calibri"/>
          <w:sz w:val="24"/>
          <w:szCs w:val="24"/>
        </w:rPr>
      </w:pPr>
      <w:r>
        <w:rPr>
          <w:rFonts w:ascii="Calibri" w:hAnsi="Calibri" w:cs="Calibri"/>
          <w:sz w:val="24"/>
          <w:szCs w:val="24"/>
        </w:rPr>
        <w:t>H</w:t>
      </w:r>
      <w:r w:rsidR="00E02B7F" w:rsidRPr="00766C1E">
        <w:rPr>
          <w:rFonts w:ascii="Calibri" w:hAnsi="Calibri" w:cs="Calibri"/>
          <w:sz w:val="24"/>
          <w:szCs w:val="24"/>
        </w:rPr>
        <w:t>ow a trauma-informed approach enhances best practice</w:t>
      </w:r>
    </w:p>
    <w:p w14:paraId="7A2DF3B4" w14:textId="4FEB2B16" w:rsidR="00E02B7F" w:rsidRPr="00766C1E" w:rsidRDefault="00E02B7F" w:rsidP="00766C1E">
      <w:pPr>
        <w:pStyle w:val="NoSpacing"/>
        <w:rPr>
          <w:rFonts w:ascii="Calibri" w:hAnsi="Calibri" w:cs="Calibri"/>
          <w:sz w:val="24"/>
          <w:szCs w:val="24"/>
        </w:rPr>
      </w:pPr>
    </w:p>
    <w:p w14:paraId="25F5E621" w14:textId="77777777" w:rsidR="00766C1E" w:rsidRPr="00024FBD" w:rsidRDefault="00766C1E" w:rsidP="00766C1E">
      <w:pPr>
        <w:spacing w:after="0" w:line="240" w:lineRule="auto"/>
        <w:rPr>
          <w:rFonts w:eastAsiaTheme="minorEastAsia"/>
          <w:b/>
          <w:bCs/>
          <w:sz w:val="24"/>
          <w:szCs w:val="24"/>
        </w:rPr>
      </w:pPr>
      <w:bookmarkStart w:id="1" w:name="_Hlk121146702"/>
      <w:r w:rsidRPr="00024FBD">
        <w:rPr>
          <w:rFonts w:eastAsiaTheme="minorEastAsia"/>
          <w:b/>
          <w:bCs/>
          <w:sz w:val="24"/>
          <w:szCs w:val="24"/>
        </w:rPr>
        <w:t>Section Themes and Key Points</w:t>
      </w:r>
    </w:p>
    <w:p w14:paraId="658A4C90" w14:textId="3E4AF048" w:rsidR="00766C1E" w:rsidRPr="00766C1E" w:rsidRDefault="00766C1E" w:rsidP="00766C1E">
      <w:pPr>
        <w:spacing w:after="0" w:line="240" w:lineRule="auto"/>
        <w:rPr>
          <w:rFonts w:eastAsiaTheme="minorEastAsia"/>
          <w:sz w:val="24"/>
          <w:szCs w:val="24"/>
        </w:rPr>
      </w:pPr>
      <w:r w:rsidRPr="00766C1E">
        <w:rPr>
          <w:rFonts w:eastAsiaTheme="minorEastAsia"/>
          <w:sz w:val="24"/>
          <w:szCs w:val="24"/>
        </w:rPr>
        <w:t>Below is a summary of the themes and key points covered in this section. This summary is intended to remind learners of the key learning points addressed and assist supervisors</w:t>
      </w:r>
      <w:r w:rsidR="00C65395">
        <w:rPr>
          <w:rFonts w:eastAsiaTheme="minorEastAsia"/>
          <w:sz w:val="24"/>
          <w:szCs w:val="24"/>
        </w:rPr>
        <w:t xml:space="preserve"> </w:t>
      </w:r>
      <w:r w:rsidRPr="00766C1E">
        <w:rPr>
          <w:rFonts w:eastAsiaTheme="minorEastAsia"/>
          <w:sz w:val="24"/>
          <w:szCs w:val="24"/>
        </w:rPr>
        <w:t xml:space="preserve">/ coaches in understanding what was covered </w:t>
      </w:r>
      <w:proofErr w:type="gramStart"/>
      <w:r w:rsidRPr="00766C1E">
        <w:rPr>
          <w:rFonts w:eastAsiaTheme="minorEastAsia"/>
          <w:sz w:val="24"/>
          <w:szCs w:val="24"/>
        </w:rPr>
        <w:t>in order for</w:t>
      </w:r>
      <w:proofErr w:type="gramEnd"/>
      <w:r w:rsidRPr="00766C1E">
        <w:rPr>
          <w:rFonts w:eastAsiaTheme="minorEastAsia"/>
          <w:sz w:val="24"/>
          <w:szCs w:val="24"/>
        </w:rPr>
        <w:t xml:space="preserve"> them to guide and support the application of learning for new child welfare professionals related to this section.</w:t>
      </w:r>
    </w:p>
    <w:bookmarkEnd w:id="1"/>
    <w:p w14:paraId="3996E735" w14:textId="77777777" w:rsidR="00766C1E" w:rsidRDefault="00766C1E" w:rsidP="00766C1E">
      <w:pPr>
        <w:pStyle w:val="NoSpacing"/>
        <w:rPr>
          <w:highlight w:val="cyan"/>
        </w:rPr>
      </w:pPr>
    </w:p>
    <w:p w14:paraId="3668519F" w14:textId="1DA2487D" w:rsidR="005059C7" w:rsidRPr="00FF0DDB" w:rsidRDefault="00766C1E" w:rsidP="002A09EF">
      <w:pPr>
        <w:pStyle w:val="NoSpacing"/>
        <w:numPr>
          <w:ilvl w:val="0"/>
          <w:numId w:val="9"/>
        </w:numPr>
        <w:ind w:left="360" w:hanging="360"/>
        <w:rPr>
          <w:sz w:val="24"/>
          <w:szCs w:val="24"/>
        </w:rPr>
      </w:pPr>
      <w:r w:rsidRPr="00FF0DDB">
        <w:rPr>
          <w:sz w:val="24"/>
          <w:szCs w:val="24"/>
        </w:rPr>
        <w:t>This section identifies t</w:t>
      </w:r>
      <w:r w:rsidR="005059C7" w:rsidRPr="00FF0DDB">
        <w:rPr>
          <w:sz w:val="24"/>
          <w:szCs w:val="24"/>
        </w:rPr>
        <w:t xml:space="preserve">rauma </w:t>
      </w:r>
      <w:r w:rsidRPr="00FF0DDB">
        <w:rPr>
          <w:sz w:val="24"/>
          <w:szCs w:val="24"/>
        </w:rPr>
        <w:t>a</w:t>
      </w:r>
      <w:r w:rsidR="005059C7" w:rsidRPr="00FF0DDB">
        <w:rPr>
          <w:sz w:val="24"/>
          <w:szCs w:val="24"/>
        </w:rPr>
        <w:t xml:space="preserve">s the </w:t>
      </w:r>
      <w:r w:rsidRPr="00FF0DDB">
        <w:rPr>
          <w:sz w:val="24"/>
          <w:szCs w:val="24"/>
        </w:rPr>
        <w:t>“</w:t>
      </w:r>
      <w:r w:rsidR="005059C7" w:rsidRPr="00FF0DDB">
        <w:rPr>
          <w:sz w:val="24"/>
          <w:szCs w:val="24"/>
        </w:rPr>
        <w:t>inability to cope or protect ourselves</w:t>
      </w:r>
      <w:r w:rsidRPr="00FF0DDB">
        <w:rPr>
          <w:sz w:val="24"/>
          <w:szCs w:val="24"/>
        </w:rPr>
        <w:t>”</w:t>
      </w:r>
      <w:r w:rsidR="005059C7" w:rsidRPr="00FF0DDB">
        <w:rPr>
          <w:sz w:val="24"/>
          <w:szCs w:val="24"/>
        </w:rPr>
        <w:t xml:space="preserve">.  </w:t>
      </w:r>
      <w:r w:rsidRPr="00FF0DDB">
        <w:rPr>
          <w:sz w:val="24"/>
          <w:szCs w:val="24"/>
        </w:rPr>
        <w:t xml:space="preserve">The types of </w:t>
      </w:r>
      <w:r w:rsidR="00024FBD" w:rsidRPr="00FF0DDB">
        <w:rPr>
          <w:sz w:val="24"/>
          <w:szCs w:val="24"/>
        </w:rPr>
        <w:t>traumas</w:t>
      </w:r>
      <w:r w:rsidRPr="00FF0DDB">
        <w:rPr>
          <w:sz w:val="24"/>
          <w:szCs w:val="24"/>
        </w:rPr>
        <w:t xml:space="preserve"> that </w:t>
      </w:r>
      <w:r w:rsidR="005059C7" w:rsidRPr="00FF0DDB">
        <w:rPr>
          <w:sz w:val="24"/>
          <w:szCs w:val="24"/>
        </w:rPr>
        <w:t xml:space="preserve">youth and families </w:t>
      </w:r>
      <w:r w:rsidRPr="00FF0DDB">
        <w:rPr>
          <w:sz w:val="24"/>
          <w:szCs w:val="24"/>
        </w:rPr>
        <w:t>in the child welfare system may experience</w:t>
      </w:r>
      <w:r w:rsidR="005059C7" w:rsidRPr="00FF0DDB">
        <w:rPr>
          <w:sz w:val="24"/>
          <w:szCs w:val="24"/>
        </w:rPr>
        <w:t xml:space="preserve"> includ</w:t>
      </w:r>
      <w:r w:rsidRPr="00FF0DDB">
        <w:rPr>
          <w:sz w:val="24"/>
          <w:szCs w:val="24"/>
        </w:rPr>
        <w:t>e</w:t>
      </w:r>
      <w:r w:rsidR="00024FBD" w:rsidRPr="00FF0DDB">
        <w:rPr>
          <w:sz w:val="24"/>
          <w:szCs w:val="24"/>
        </w:rPr>
        <w:t xml:space="preserve"> historical, s</w:t>
      </w:r>
      <w:r w:rsidR="005059C7" w:rsidRPr="00FF0DDB">
        <w:rPr>
          <w:sz w:val="24"/>
          <w:szCs w:val="24"/>
        </w:rPr>
        <w:t>ocio-cultural</w:t>
      </w:r>
      <w:r w:rsidR="00024FBD" w:rsidRPr="00FF0DDB">
        <w:rPr>
          <w:sz w:val="24"/>
          <w:szCs w:val="24"/>
        </w:rPr>
        <w:t>, c</w:t>
      </w:r>
      <w:r w:rsidR="005059C7" w:rsidRPr="00FF0DDB">
        <w:rPr>
          <w:sz w:val="24"/>
          <w:szCs w:val="24"/>
        </w:rPr>
        <w:t>hronic</w:t>
      </w:r>
      <w:r w:rsidRPr="00FF0DDB">
        <w:rPr>
          <w:sz w:val="24"/>
          <w:szCs w:val="24"/>
        </w:rPr>
        <w:t xml:space="preserve"> </w:t>
      </w:r>
      <w:r w:rsidR="00024FBD" w:rsidRPr="00FF0DDB">
        <w:rPr>
          <w:sz w:val="24"/>
          <w:szCs w:val="24"/>
        </w:rPr>
        <w:t>and/or a</w:t>
      </w:r>
      <w:r w:rsidR="005059C7" w:rsidRPr="00FF0DDB">
        <w:rPr>
          <w:sz w:val="24"/>
          <w:szCs w:val="24"/>
        </w:rPr>
        <w:t>cute</w:t>
      </w:r>
      <w:r w:rsidRPr="00FF0DDB">
        <w:rPr>
          <w:sz w:val="24"/>
          <w:szCs w:val="24"/>
        </w:rPr>
        <w:t xml:space="preserve"> trauma</w:t>
      </w:r>
      <w:r w:rsidR="00024FBD" w:rsidRPr="00FF0DDB">
        <w:rPr>
          <w:sz w:val="24"/>
          <w:szCs w:val="24"/>
        </w:rPr>
        <w:t>.</w:t>
      </w:r>
      <w:r w:rsidR="00FF0DDB" w:rsidRPr="00FF0DDB">
        <w:rPr>
          <w:sz w:val="24"/>
          <w:szCs w:val="24"/>
        </w:rPr>
        <w:t xml:space="preserve">  </w:t>
      </w:r>
      <w:r w:rsidR="005059C7" w:rsidRPr="00FF0DDB">
        <w:rPr>
          <w:sz w:val="24"/>
          <w:szCs w:val="24"/>
        </w:rPr>
        <w:t xml:space="preserve">Many families </w:t>
      </w:r>
      <w:r w:rsidR="00676D66" w:rsidRPr="00FF0DDB">
        <w:rPr>
          <w:sz w:val="24"/>
          <w:szCs w:val="24"/>
        </w:rPr>
        <w:t xml:space="preserve">in the child welfare system may also </w:t>
      </w:r>
      <w:r w:rsidR="005059C7" w:rsidRPr="00FF0DDB">
        <w:rPr>
          <w:sz w:val="24"/>
          <w:szCs w:val="24"/>
        </w:rPr>
        <w:t xml:space="preserve">have </w:t>
      </w:r>
      <w:r w:rsidR="00024FBD" w:rsidRPr="00FF0DDB">
        <w:rPr>
          <w:sz w:val="24"/>
          <w:szCs w:val="24"/>
        </w:rPr>
        <w:t>c</w:t>
      </w:r>
      <w:r w:rsidR="005059C7" w:rsidRPr="00FF0DDB">
        <w:rPr>
          <w:sz w:val="24"/>
          <w:szCs w:val="24"/>
        </w:rPr>
        <w:t xml:space="preserve">omplex </w:t>
      </w:r>
      <w:r w:rsidR="00024FBD" w:rsidRPr="00FF0DDB">
        <w:rPr>
          <w:sz w:val="24"/>
          <w:szCs w:val="24"/>
        </w:rPr>
        <w:t>tr</w:t>
      </w:r>
      <w:r w:rsidR="005059C7" w:rsidRPr="00FF0DDB">
        <w:rPr>
          <w:sz w:val="24"/>
          <w:szCs w:val="24"/>
        </w:rPr>
        <w:t>auma</w:t>
      </w:r>
      <w:r w:rsidR="00024FBD" w:rsidRPr="00FF0DDB">
        <w:rPr>
          <w:sz w:val="24"/>
          <w:szCs w:val="24"/>
        </w:rPr>
        <w:t xml:space="preserve">, which involves </w:t>
      </w:r>
      <w:r w:rsidR="005059C7" w:rsidRPr="00FF0DDB">
        <w:rPr>
          <w:sz w:val="24"/>
          <w:szCs w:val="24"/>
        </w:rPr>
        <w:t xml:space="preserve">exposure to multiple traumatic events </w:t>
      </w:r>
      <w:r w:rsidR="00024FBD" w:rsidRPr="00FF0DDB">
        <w:rPr>
          <w:sz w:val="24"/>
          <w:szCs w:val="24"/>
        </w:rPr>
        <w:t>that</w:t>
      </w:r>
      <w:r w:rsidR="005059C7" w:rsidRPr="00FF0DDB">
        <w:rPr>
          <w:sz w:val="24"/>
          <w:szCs w:val="24"/>
        </w:rPr>
        <w:t xml:space="preserve"> are severe and invasive.  </w:t>
      </w:r>
    </w:p>
    <w:p w14:paraId="7DA23C7E" w14:textId="77777777" w:rsidR="00676D66" w:rsidRDefault="00676D66" w:rsidP="005059C7">
      <w:pPr>
        <w:widowControl w:val="0"/>
        <w:autoSpaceDE w:val="0"/>
        <w:autoSpaceDN w:val="0"/>
        <w:adjustRightInd w:val="0"/>
        <w:spacing w:before="6" w:after="6"/>
        <w:rPr>
          <w:rFonts w:cstheme="minorHAnsi"/>
          <w:sz w:val="24"/>
          <w:szCs w:val="24"/>
        </w:rPr>
      </w:pPr>
    </w:p>
    <w:p w14:paraId="43A9279B" w14:textId="311A6259" w:rsidR="00B310CA" w:rsidRPr="00FF0DDB" w:rsidRDefault="00676D66" w:rsidP="007E4C68">
      <w:pPr>
        <w:pStyle w:val="NoSpacing"/>
        <w:widowControl w:val="0"/>
        <w:numPr>
          <w:ilvl w:val="0"/>
          <w:numId w:val="9"/>
        </w:numPr>
        <w:autoSpaceDE w:val="0"/>
        <w:autoSpaceDN w:val="0"/>
        <w:adjustRightInd w:val="0"/>
        <w:spacing w:before="6" w:after="6"/>
        <w:ind w:left="360" w:hanging="360"/>
        <w:rPr>
          <w:rFonts w:cstheme="minorHAnsi"/>
          <w:sz w:val="24"/>
          <w:szCs w:val="24"/>
        </w:rPr>
      </w:pPr>
      <w:r w:rsidRPr="00FF0DDB">
        <w:rPr>
          <w:rFonts w:cstheme="minorHAnsi"/>
          <w:sz w:val="24"/>
          <w:szCs w:val="24"/>
        </w:rPr>
        <w:t>This section identifies the impact of trauma and notes that n</w:t>
      </w:r>
      <w:r w:rsidR="005059C7" w:rsidRPr="00FF0DDB">
        <w:rPr>
          <w:rFonts w:cstheme="minorHAnsi"/>
          <w:sz w:val="24"/>
          <w:szCs w:val="24"/>
        </w:rPr>
        <w:t xml:space="preserve">ot everyone exposed to trauma will suffer in the same way.  Trauma exposure impacts individuals differently depending on whether the child or youth can process the events with a supportive person. </w:t>
      </w:r>
      <w:r w:rsidRPr="00FF0DDB">
        <w:rPr>
          <w:rFonts w:cstheme="minorHAnsi"/>
          <w:sz w:val="24"/>
          <w:szCs w:val="24"/>
        </w:rPr>
        <w:t>F</w:t>
      </w:r>
      <w:r w:rsidR="005059C7" w:rsidRPr="00FF0DDB">
        <w:rPr>
          <w:rFonts w:cstheme="minorHAnsi"/>
          <w:sz w:val="24"/>
          <w:szCs w:val="24"/>
        </w:rPr>
        <w:t>actors that shape the impact of trauma include</w:t>
      </w:r>
      <w:r w:rsidR="00024FBD" w:rsidRPr="00FF0DDB">
        <w:rPr>
          <w:rFonts w:cstheme="minorHAnsi"/>
          <w:sz w:val="24"/>
          <w:szCs w:val="24"/>
        </w:rPr>
        <w:t xml:space="preserve"> age, victim or witness status, perceived danger, relationship to the person and past experiences.  </w:t>
      </w:r>
      <w:r w:rsidR="00B310CA" w:rsidRPr="00FF0DDB">
        <w:rPr>
          <w:rFonts w:cstheme="minorHAnsi"/>
          <w:sz w:val="24"/>
          <w:szCs w:val="24"/>
        </w:rPr>
        <w:t>The elements critical to build trust and resilience through partnership with youth and families</w:t>
      </w:r>
      <w:r w:rsidR="00FC6042" w:rsidRPr="00FF0DDB">
        <w:rPr>
          <w:rFonts w:cstheme="minorHAnsi"/>
          <w:sz w:val="24"/>
          <w:szCs w:val="24"/>
        </w:rPr>
        <w:t xml:space="preserve"> who have experienced trauma</w:t>
      </w:r>
      <w:r w:rsidR="00B310CA" w:rsidRPr="00FF0DDB">
        <w:rPr>
          <w:rFonts w:cstheme="minorHAnsi"/>
          <w:sz w:val="24"/>
          <w:szCs w:val="24"/>
        </w:rPr>
        <w:t xml:space="preserve"> include empathy, control, and transparency.  </w:t>
      </w:r>
    </w:p>
    <w:p w14:paraId="28B93EE0" w14:textId="77777777" w:rsidR="00C65395" w:rsidRDefault="00C65395" w:rsidP="00024FBD">
      <w:pPr>
        <w:widowControl w:val="0"/>
        <w:autoSpaceDE w:val="0"/>
        <w:autoSpaceDN w:val="0"/>
        <w:adjustRightInd w:val="0"/>
        <w:spacing w:before="6" w:after="6"/>
        <w:ind w:left="360"/>
        <w:rPr>
          <w:rFonts w:cstheme="minorHAnsi"/>
          <w:sz w:val="24"/>
          <w:szCs w:val="24"/>
        </w:rPr>
      </w:pPr>
    </w:p>
    <w:p w14:paraId="5B9734B4" w14:textId="78E9D30E" w:rsidR="00024FBD" w:rsidRDefault="00676D66" w:rsidP="00C65395">
      <w:pPr>
        <w:pStyle w:val="NoSpacing"/>
        <w:numPr>
          <w:ilvl w:val="0"/>
          <w:numId w:val="9"/>
        </w:numPr>
        <w:ind w:left="360" w:hanging="360"/>
        <w:rPr>
          <w:rFonts w:cstheme="minorHAnsi"/>
          <w:sz w:val="24"/>
          <w:szCs w:val="24"/>
        </w:rPr>
      </w:pPr>
      <w:r>
        <w:rPr>
          <w:rFonts w:cstheme="minorHAnsi"/>
          <w:sz w:val="24"/>
          <w:szCs w:val="24"/>
        </w:rPr>
        <w:t xml:space="preserve">This section reviews toxic stress.  </w:t>
      </w:r>
      <w:r w:rsidR="005059C7" w:rsidRPr="005059C7">
        <w:rPr>
          <w:rFonts w:cstheme="minorHAnsi"/>
          <w:sz w:val="24"/>
          <w:szCs w:val="24"/>
        </w:rPr>
        <w:t>Stress hormones are designed for our survival</w:t>
      </w:r>
      <w:r>
        <w:rPr>
          <w:rFonts w:cstheme="minorHAnsi"/>
          <w:sz w:val="24"/>
          <w:szCs w:val="24"/>
        </w:rPr>
        <w:t xml:space="preserve"> b</w:t>
      </w:r>
      <w:r w:rsidR="005059C7" w:rsidRPr="005059C7">
        <w:rPr>
          <w:rFonts w:cstheme="minorHAnsi"/>
          <w:sz w:val="24"/>
          <w:szCs w:val="24"/>
        </w:rPr>
        <w:t xml:space="preserve">ut can be toxic when developing brains are constantly being exposed to </w:t>
      </w:r>
      <w:r>
        <w:rPr>
          <w:rFonts w:cstheme="minorHAnsi"/>
          <w:sz w:val="24"/>
          <w:szCs w:val="24"/>
        </w:rPr>
        <w:t xml:space="preserve">them, leading to </w:t>
      </w:r>
      <w:r w:rsidR="005059C7" w:rsidRPr="005059C7">
        <w:rPr>
          <w:rFonts w:cstheme="minorHAnsi"/>
          <w:sz w:val="24"/>
          <w:szCs w:val="24"/>
        </w:rPr>
        <w:t xml:space="preserve">toxic stress. </w:t>
      </w:r>
      <w:r>
        <w:rPr>
          <w:rFonts w:cstheme="minorHAnsi"/>
          <w:sz w:val="24"/>
          <w:szCs w:val="24"/>
        </w:rPr>
        <w:t>T</w:t>
      </w:r>
      <w:r w:rsidR="005059C7" w:rsidRPr="005059C7">
        <w:rPr>
          <w:rFonts w:cstheme="minorHAnsi"/>
          <w:sz w:val="24"/>
          <w:szCs w:val="24"/>
        </w:rPr>
        <w:t>oxic stress is exacerbated for children in distress who do not have a caring or protective adult to help make them feel secure, soothed and seen</w:t>
      </w:r>
      <w:r w:rsidR="005059C7">
        <w:rPr>
          <w:rFonts w:cstheme="minorHAnsi"/>
          <w:sz w:val="24"/>
          <w:szCs w:val="24"/>
        </w:rPr>
        <w:t>.</w:t>
      </w:r>
    </w:p>
    <w:p w14:paraId="57D1CE71" w14:textId="434C2794" w:rsidR="005059C7" w:rsidRDefault="005059C7" w:rsidP="00024FBD">
      <w:pPr>
        <w:pStyle w:val="NoSpacing"/>
        <w:ind w:left="360"/>
        <w:rPr>
          <w:rFonts w:cstheme="minorHAnsi"/>
          <w:sz w:val="24"/>
          <w:szCs w:val="24"/>
        </w:rPr>
      </w:pPr>
      <w:r>
        <w:rPr>
          <w:rFonts w:cstheme="minorHAnsi"/>
          <w:sz w:val="24"/>
          <w:szCs w:val="24"/>
        </w:rPr>
        <w:t xml:space="preserve"> </w:t>
      </w:r>
    </w:p>
    <w:p w14:paraId="72CA4285" w14:textId="739542CC" w:rsidR="00E025D0" w:rsidRPr="00E025D0" w:rsidRDefault="00B310CA" w:rsidP="00C65395">
      <w:pPr>
        <w:pStyle w:val="NoSpacing"/>
        <w:numPr>
          <w:ilvl w:val="0"/>
          <w:numId w:val="9"/>
        </w:numPr>
        <w:ind w:left="360" w:hanging="360"/>
        <w:rPr>
          <w:rFonts w:cstheme="minorHAnsi"/>
          <w:sz w:val="24"/>
          <w:szCs w:val="24"/>
        </w:rPr>
      </w:pPr>
      <w:r w:rsidRPr="00E025D0">
        <w:rPr>
          <w:rFonts w:cstheme="minorHAnsi"/>
          <w:sz w:val="24"/>
          <w:szCs w:val="24"/>
        </w:rPr>
        <w:t xml:space="preserve">This section </w:t>
      </w:r>
      <w:r w:rsidR="00024FBD">
        <w:rPr>
          <w:rFonts w:cstheme="minorHAnsi"/>
          <w:sz w:val="24"/>
          <w:szCs w:val="24"/>
        </w:rPr>
        <w:t>introduces</w:t>
      </w:r>
      <w:r w:rsidRPr="00E025D0">
        <w:rPr>
          <w:rFonts w:cstheme="minorHAnsi"/>
          <w:sz w:val="24"/>
          <w:szCs w:val="24"/>
        </w:rPr>
        <w:t xml:space="preserve"> a tool for recognizing trauma an individual </w:t>
      </w:r>
      <w:r w:rsidR="00DA1D79" w:rsidRPr="00E025D0">
        <w:rPr>
          <w:rFonts w:cstheme="minorHAnsi"/>
          <w:sz w:val="24"/>
          <w:szCs w:val="24"/>
        </w:rPr>
        <w:t>has experienced</w:t>
      </w:r>
      <w:r w:rsidRPr="00E025D0">
        <w:rPr>
          <w:rFonts w:cstheme="minorHAnsi"/>
          <w:sz w:val="24"/>
          <w:szCs w:val="24"/>
        </w:rPr>
        <w:t xml:space="preserve">, along with </w:t>
      </w:r>
      <w:r w:rsidR="00DA1D79" w:rsidRPr="00E025D0">
        <w:rPr>
          <w:rFonts w:cstheme="minorHAnsi"/>
          <w:sz w:val="24"/>
          <w:szCs w:val="24"/>
        </w:rPr>
        <w:t>predicting its impact</w:t>
      </w:r>
      <w:r w:rsidR="00024FBD">
        <w:rPr>
          <w:rFonts w:cstheme="minorHAnsi"/>
          <w:sz w:val="24"/>
          <w:szCs w:val="24"/>
        </w:rPr>
        <w:t xml:space="preserve">.  </w:t>
      </w:r>
      <w:r w:rsidR="00DA1D79" w:rsidRPr="00E025D0">
        <w:rPr>
          <w:rFonts w:cstheme="minorHAnsi"/>
          <w:sz w:val="24"/>
          <w:szCs w:val="24"/>
        </w:rPr>
        <w:t xml:space="preserve">Adverse Childhood Experiences </w:t>
      </w:r>
      <w:r w:rsidRPr="00E025D0">
        <w:rPr>
          <w:rFonts w:cstheme="minorHAnsi"/>
          <w:sz w:val="24"/>
          <w:szCs w:val="24"/>
        </w:rPr>
        <w:t>(</w:t>
      </w:r>
      <w:r w:rsidR="00DA1D79" w:rsidRPr="00E025D0">
        <w:rPr>
          <w:rFonts w:cstheme="minorHAnsi"/>
          <w:sz w:val="24"/>
          <w:szCs w:val="24"/>
        </w:rPr>
        <w:t>ACEs</w:t>
      </w:r>
      <w:r w:rsidRPr="00E025D0">
        <w:rPr>
          <w:rFonts w:cstheme="minorHAnsi"/>
          <w:sz w:val="24"/>
          <w:szCs w:val="24"/>
        </w:rPr>
        <w:t>)</w:t>
      </w:r>
      <w:r w:rsidR="00DA1D79" w:rsidRPr="00E025D0">
        <w:rPr>
          <w:rFonts w:cstheme="minorHAnsi"/>
          <w:sz w:val="24"/>
          <w:szCs w:val="24"/>
        </w:rPr>
        <w:t xml:space="preserve"> </w:t>
      </w:r>
      <w:r w:rsidR="00024FBD">
        <w:rPr>
          <w:rFonts w:cstheme="minorHAnsi"/>
          <w:sz w:val="24"/>
          <w:szCs w:val="24"/>
        </w:rPr>
        <w:t>are</w:t>
      </w:r>
      <w:r w:rsidR="00DA1D79" w:rsidRPr="00E025D0">
        <w:rPr>
          <w:rFonts w:cstheme="minorHAnsi"/>
          <w:sz w:val="24"/>
          <w:szCs w:val="24"/>
        </w:rPr>
        <w:t xml:space="preserve"> traumatic experience</w:t>
      </w:r>
      <w:r w:rsidR="00024FBD">
        <w:rPr>
          <w:rFonts w:cstheme="minorHAnsi"/>
          <w:sz w:val="24"/>
          <w:szCs w:val="24"/>
        </w:rPr>
        <w:t>s</w:t>
      </w:r>
      <w:r w:rsidR="00DA1D79" w:rsidRPr="00E025D0">
        <w:rPr>
          <w:rFonts w:cstheme="minorHAnsi"/>
          <w:sz w:val="24"/>
          <w:szCs w:val="24"/>
        </w:rPr>
        <w:t xml:space="preserve"> prior to the age of 18</w:t>
      </w:r>
      <w:r w:rsidRPr="00E025D0">
        <w:rPr>
          <w:rFonts w:cstheme="minorHAnsi"/>
          <w:sz w:val="24"/>
          <w:szCs w:val="24"/>
        </w:rPr>
        <w:t xml:space="preserve"> and t</w:t>
      </w:r>
      <w:r w:rsidR="00DA1D79" w:rsidRPr="00E025D0">
        <w:rPr>
          <w:rFonts w:cstheme="minorHAnsi"/>
          <w:sz w:val="24"/>
          <w:szCs w:val="24"/>
        </w:rPr>
        <w:t>he ACE</w:t>
      </w:r>
      <w:r w:rsidR="00024FBD">
        <w:rPr>
          <w:rFonts w:cstheme="minorHAnsi"/>
          <w:sz w:val="24"/>
          <w:szCs w:val="24"/>
        </w:rPr>
        <w:t xml:space="preserve">’s screen and </w:t>
      </w:r>
      <w:r w:rsidR="00DA1D79" w:rsidRPr="00E025D0">
        <w:rPr>
          <w:rFonts w:cstheme="minorHAnsi"/>
          <w:sz w:val="24"/>
          <w:szCs w:val="24"/>
        </w:rPr>
        <w:t xml:space="preserve">score is a measure of cumulative exposure to certain adverse childhood conditions. </w:t>
      </w:r>
      <w:r w:rsidR="00E025D0" w:rsidRPr="00E025D0">
        <w:rPr>
          <w:rFonts w:cstheme="minorHAnsi"/>
          <w:sz w:val="24"/>
          <w:szCs w:val="24"/>
        </w:rPr>
        <w:t xml:space="preserve"> </w:t>
      </w:r>
      <w:r w:rsidR="00E025D0" w:rsidRPr="00E025D0">
        <w:rPr>
          <w:rFonts w:ascii="Calibri" w:hAnsi="Calibri" w:cs="Calibri"/>
          <w:sz w:val="24"/>
          <w:szCs w:val="24"/>
        </w:rPr>
        <w:t>Researchers found that the number of categories of adverse childhood experiences, not the duration or severity of any one type of experience, was the stronger predicter of challenging outcomes later in life. ACEs are cumulative - the more categories experienced, the greater the impact of health through the lifespan.</w:t>
      </w:r>
    </w:p>
    <w:p w14:paraId="66BB2152" w14:textId="77777777" w:rsidR="00C65395" w:rsidRDefault="00C65395" w:rsidP="00B310CA">
      <w:pPr>
        <w:spacing w:after="0" w:line="240" w:lineRule="auto"/>
        <w:rPr>
          <w:rFonts w:eastAsiaTheme="minorEastAsia"/>
          <w:b/>
          <w:bCs/>
          <w:sz w:val="24"/>
          <w:szCs w:val="24"/>
        </w:rPr>
      </w:pPr>
    </w:p>
    <w:p w14:paraId="56C5CDE8" w14:textId="0E5ED26C" w:rsidR="00B310CA" w:rsidRPr="00B310CA" w:rsidRDefault="00C65395" w:rsidP="00B310CA">
      <w:pPr>
        <w:spacing w:after="0" w:line="240" w:lineRule="auto"/>
        <w:rPr>
          <w:rFonts w:eastAsiaTheme="minorEastAsia"/>
          <w:sz w:val="24"/>
          <w:szCs w:val="24"/>
        </w:rPr>
      </w:pPr>
      <w:r w:rsidRPr="00B310CA">
        <w:rPr>
          <w:rFonts w:eastAsiaTheme="minorEastAsia"/>
          <w:b/>
          <w:bCs/>
          <w:sz w:val="24"/>
          <w:szCs w:val="24"/>
        </w:rPr>
        <w:lastRenderedPageBreak/>
        <w:t>On-the-Job Application Activities</w:t>
      </w:r>
    </w:p>
    <w:p w14:paraId="7D792BCC" w14:textId="18261B78" w:rsidR="00B310CA" w:rsidRPr="00B310CA" w:rsidRDefault="00B310CA" w:rsidP="00B310CA">
      <w:pPr>
        <w:spacing w:after="0" w:line="240" w:lineRule="auto"/>
        <w:rPr>
          <w:rFonts w:eastAsiaTheme="minorEastAsia"/>
          <w:sz w:val="24"/>
          <w:szCs w:val="24"/>
          <w:shd w:val="clear" w:color="auto" w:fill="FFFFFF"/>
        </w:rPr>
      </w:pPr>
      <w:r w:rsidRPr="00B310CA">
        <w:rPr>
          <w:rFonts w:eastAsiaTheme="minorEastAsia"/>
          <w:sz w:val="24"/>
          <w:szCs w:val="24"/>
        </w:rPr>
        <w:t>Listed in this section are optional t</w:t>
      </w:r>
      <w:r w:rsidRPr="00B310CA">
        <w:rPr>
          <w:rFonts w:eastAsiaTheme="minorEastAsia"/>
          <w:sz w:val="24"/>
          <w:szCs w:val="24"/>
          <w:shd w:val="clear" w:color="auto" w:fill="FFFFFF"/>
        </w:rPr>
        <w:t xml:space="preserve">ransfer of training activities to support the learner in applying the knowledge </w:t>
      </w:r>
      <w:r w:rsidRPr="00B310CA">
        <w:rPr>
          <w:rFonts w:eastAsiaTheme="minorEastAsia"/>
          <w:sz w:val="24"/>
          <w:szCs w:val="24"/>
        </w:rPr>
        <w:t xml:space="preserve">acquired during the </w:t>
      </w:r>
      <w:r>
        <w:rPr>
          <w:rFonts w:eastAsiaTheme="minorEastAsia"/>
          <w:sz w:val="24"/>
          <w:szCs w:val="24"/>
        </w:rPr>
        <w:t>Trauma</w:t>
      </w:r>
      <w:r w:rsidR="00E025D0">
        <w:rPr>
          <w:rFonts w:eastAsiaTheme="minorEastAsia"/>
          <w:sz w:val="24"/>
          <w:szCs w:val="24"/>
        </w:rPr>
        <w:t xml:space="preserve"> </w:t>
      </w:r>
      <w:r w:rsidRPr="00B310CA">
        <w:rPr>
          <w:rFonts w:eastAsiaTheme="minorEastAsia"/>
          <w:sz w:val="24"/>
          <w:szCs w:val="24"/>
        </w:rPr>
        <w:t>Pre-Service Module</w:t>
      </w:r>
      <w:r w:rsidRPr="00B310CA">
        <w:rPr>
          <w:rFonts w:eastAsiaTheme="minorEastAsia"/>
          <w:sz w:val="24"/>
          <w:szCs w:val="24"/>
          <w:shd w:val="clear" w:color="auto" w:fill="FFFFFF"/>
        </w:rPr>
        <w:t xml:space="preserve"> to their CPS roles and responsibilities.</w:t>
      </w:r>
    </w:p>
    <w:p w14:paraId="55ECD852" w14:textId="77777777" w:rsidR="00024FBD" w:rsidRPr="00024FBD" w:rsidRDefault="00024FBD" w:rsidP="00024FBD">
      <w:pPr>
        <w:pStyle w:val="NoSpacing"/>
        <w:rPr>
          <w:sz w:val="28"/>
          <w:szCs w:val="28"/>
          <w:shd w:val="clear" w:color="auto" w:fill="FFFFFF"/>
        </w:rPr>
      </w:pPr>
    </w:p>
    <w:p w14:paraId="2C922E3E" w14:textId="067B9051" w:rsidR="00B310CA" w:rsidRPr="00B310CA" w:rsidRDefault="00B310CA" w:rsidP="00B310CA">
      <w:pPr>
        <w:spacing w:after="0" w:line="240" w:lineRule="auto"/>
        <w:rPr>
          <w:rFonts w:eastAsiaTheme="minorEastAsia"/>
          <w:sz w:val="24"/>
          <w:szCs w:val="24"/>
          <w:shd w:val="clear" w:color="auto" w:fill="FFFFFF"/>
        </w:rPr>
      </w:pPr>
      <w:r w:rsidRPr="00B310CA">
        <w:rPr>
          <w:rFonts w:eastAsiaTheme="minorEastAsia"/>
          <w:sz w:val="24"/>
          <w:szCs w:val="24"/>
          <w:shd w:val="clear" w:color="auto" w:fill="FFFFFF"/>
        </w:rPr>
        <w:t xml:space="preserve">These </w:t>
      </w:r>
      <w:r w:rsidR="00D75830">
        <w:rPr>
          <w:rFonts w:eastAsiaTheme="minorEastAsia"/>
          <w:sz w:val="24"/>
          <w:szCs w:val="24"/>
          <w:shd w:val="clear" w:color="auto" w:fill="FFFFFF"/>
        </w:rPr>
        <w:t>two</w:t>
      </w:r>
      <w:r w:rsidRPr="00B310CA">
        <w:rPr>
          <w:rFonts w:eastAsiaTheme="minorEastAsia"/>
          <w:sz w:val="24"/>
          <w:szCs w:val="24"/>
          <w:shd w:val="clear" w:color="auto" w:fill="FFFFFF"/>
        </w:rPr>
        <w:t xml:space="preserve"> activities are optional and are provided only to aid the child welfare professional and supervisor/coach in supporting transfer of learning from pre-service to the agency. The child welfare professional, with input from their supervisor/coach, may choose to complete all, some, or none of these activities or substitute in other activities. </w:t>
      </w:r>
    </w:p>
    <w:p w14:paraId="4661D08D" w14:textId="77777777" w:rsidR="00024FBD" w:rsidRDefault="00024FBD" w:rsidP="00B310CA">
      <w:pPr>
        <w:spacing w:after="0" w:line="240" w:lineRule="auto"/>
        <w:rPr>
          <w:rFonts w:eastAsiaTheme="minorEastAsia"/>
          <w:sz w:val="24"/>
          <w:szCs w:val="24"/>
        </w:rPr>
      </w:pPr>
      <w:bookmarkStart w:id="2" w:name="_Hlk121317540"/>
    </w:p>
    <w:p w14:paraId="5428BDD3" w14:textId="2ECA7572" w:rsidR="00B310CA" w:rsidRPr="00B310CA" w:rsidRDefault="00B310CA" w:rsidP="00B310CA">
      <w:pPr>
        <w:spacing w:after="0" w:line="240" w:lineRule="auto"/>
        <w:rPr>
          <w:rFonts w:eastAsiaTheme="minorEastAsia"/>
          <w:sz w:val="24"/>
          <w:szCs w:val="24"/>
        </w:rPr>
      </w:pPr>
      <w:r w:rsidRPr="00B310CA">
        <w:rPr>
          <w:rFonts w:eastAsiaTheme="minorEastAsia"/>
          <w:sz w:val="24"/>
          <w:szCs w:val="24"/>
        </w:rPr>
        <w:t xml:space="preserve">Each of the </w:t>
      </w:r>
      <w:r w:rsidR="00D75830">
        <w:rPr>
          <w:rFonts w:eastAsiaTheme="minorEastAsia"/>
          <w:sz w:val="24"/>
          <w:szCs w:val="24"/>
        </w:rPr>
        <w:t>two</w:t>
      </w:r>
      <w:r w:rsidRPr="00B310CA">
        <w:rPr>
          <w:rFonts w:eastAsiaTheme="minorEastAsia"/>
          <w:sz w:val="24"/>
          <w:szCs w:val="24"/>
        </w:rPr>
        <w:t xml:space="preserve"> activities are described below, and a resource section to aid the post-activity supervisor/coach discussion with the child welfare professional follows the description of each activity.</w:t>
      </w:r>
    </w:p>
    <w:bookmarkEnd w:id="2"/>
    <w:p w14:paraId="67C086F0" w14:textId="60059EA5" w:rsidR="00E02B7F" w:rsidRPr="00B310CA" w:rsidRDefault="00E02B7F" w:rsidP="00B310CA">
      <w:pPr>
        <w:pStyle w:val="NoSpacing"/>
        <w:rPr>
          <w:sz w:val="24"/>
          <w:szCs w:val="24"/>
        </w:rPr>
      </w:pPr>
    </w:p>
    <w:p w14:paraId="6009FC63" w14:textId="2BCE6F32" w:rsidR="00CA1C5F" w:rsidRPr="00CA1C5F" w:rsidRDefault="00B40CAA" w:rsidP="00FF0DDB">
      <w:pPr>
        <w:pStyle w:val="NoSpacing"/>
        <w:ind w:left="360"/>
        <w:rPr>
          <w:b/>
          <w:bCs/>
          <w:sz w:val="24"/>
          <w:szCs w:val="24"/>
          <w:u w:val="single"/>
        </w:rPr>
      </w:pPr>
      <w:bookmarkStart w:id="3" w:name="_Hlk121478886"/>
      <w:r w:rsidRPr="00CA1C5F">
        <w:rPr>
          <w:b/>
          <w:bCs/>
          <w:sz w:val="24"/>
          <w:szCs w:val="24"/>
          <w:u w:val="single"/>
        </w:rPr>
        <w:t xml:space="preserve">Option </w:t>
      </w:r>
      <w:r w:rsidR="0028024E">
        <w:rPr>
          <w:b/>
          <w:bCs/>
          <w:sz w:val="24"/>
          <w:szCs w:val="24"/>
          <w:u w:val="single"/>
        </w:rPr>
        <w:t>1</w:t>
      </w:r>
      <w:r w:rsidR="00CA1C5F" w:rsidRPr="00CA1C5F">
        <w:rPr>
          <w:b/>
          <w:bCs/>
          <w:sz w:val="24"/>
          <w:szCs w:val="24"/>
          <w:u w:val="single"/>
        </w:rPr>
        <w:t xml:space="preserve">: </w:t>
      </w:r>
      <w:r w:rsidR="00CA1C5F">
        <w:rPr>
          <w:b/>
          <w:bCs/>
          <w:sz w:val="24"/>
          <w:szCs w:val="24"/>
          <w:u w:val="single"/>
        </w:rPr>
        <w:t>“</w:t>
      </w:r>
      <w:r w:rsidR="00CA1C5F" w:rsidRPr="00CA1C5F">
        <w:rPr>
          <w:b/>
          <w:bCs/>
          <w:sz w:val="24"/>
          <w:szCs w:val="24"/>
          <w:u w:val="single"/>
        </w:rPr>
        <w:t>Adverse Childhood Experiences in Wisconsin: 2011-2015 Behavioral Risk Factor Survey Findings</w:t>
      </w:r>
      <w:r w:rsidR="00CE197C">
        <w:rPr>
          <w:b/>
          <w:bCs/>
          <w:sz w:val="24"/>
          <w:szCs w:val="24"/>
          <w:u w:val="single"/>
        </w:rPr>
        <w:t>” Activity</w:t>
      </w:r>
      <w:r w:rsidR="00CA1C5F" w:rsidRPr="00CA1C5F">
        <w:rPr>
          <w:b/>
          <w:bCs/>
          <w:sz w:val="24"/>
          <w:szCs w:val="24"/>
          <w:u w:val="single"/>
        </w:rPr>
        <w:t xml:space="preserve">  </w:t>
      </w:r>
    </w:p>
    <w:bookmarkEnd w:id="3"/>
    <w:p w14:paraId="1BCAB9C4" w14:textId="36272767" w:rsidR="00B40CAA" w:rsidRPr="00D75830" w:rsidRDefault="00A65283" w:rsidP="00FF0DDB">
      <w:pPr>
        <w:pStyle w:val="NoSpacing"/>
        <w:ind w:left="360"/>
        <w:rPr>
          <w:sz w:val="24"/>
          <w:szCs w:val="24"/>
        </w:rPr>
      </w:pPr>
      <w:r w:rsidRPr="00D75830">
        <w:rPr>
          <w:rFonts w:ascii="ProximaNova-Regular" w:hAnsi="ProximaNova-Regular" w:cs="ProximaNova-Regular"/>
          <w:sz w:val="24"/>
          <w:szCs w:val="24"/>
        </w:rPr>
        <w:t xml:space="preserve">Wisconsin began collecting information about ACEs in 2010 and published the information, </w:t>
      </w:r>
      <w:r w:rsidR="00B40CAA" w:rsidRPr="00D75830">
        <w:rPr>
          <w:sz w:val="24"/>
          <w:szCs w:val="24"/>
        </w:rPr>
        <w:t xml:space="preserve">“Adverse Childhood Experiences </w:t>
      </w:r>
      <w:bookmarkStart w:id="4" w:name="_Hlk121478344"/>
      <w:r w:rsidR="00B40CAA" w:rsidRPr="00D75830">
        <w:rPr>
          <w:sz w:val="24"/>
          <w:szCs w:val="24"/>
        </w:rPr>
        <w:t xml:space="preserve">in Wisconsin: 2011-2015 Behavioral Risk Factor Survey Findings.”  </w:t>
      </w:r>
    </w:p>
    <w:p w14:paraId="675A0BAC" w14:textId="5C12BDDA" w:rsidR="00CA1C5F" w:rsidRPr="00CA1C5F" w:rsidRDefault="00CA1C5F" w:rsidP="0092339B">
      <w:pPr>
        <w:pStyle w:val="NoSpacing"/>
        <w:numPr>
          <w:ilvl w:val="0"/>
          <w:numId w:val="6"/>
        </w:numPr>
        <w:ind w:left="720"/>
        <w:rPr>
          <w:sz w:val="24"/>
          <w:szCs w:val="24"/>
        </w:rPr>
      </w:pPr>
      <w:r w:rsidRPr="00CA1C5F">
        <w:rPr>
          <w:sz w:val="24"/>
          <w:szCs w:val="24"/>
        </w:rPr>
        <w:t>Review the Adverse Childhood Experiences in Wisconsin: 2011-2015 Behavioral Risk Factor Survey Findings</w:t>
      </w:r>
      <w:r>
        <w:rPr>
          <w:sz w:val="24"/>
          <w:szCs w:val="24"/>
        </w:rPr>
        <w:t xml:space="preserve">” on Wisconsin.Gov/Child Abuse </w:t>
      </w:r>
      <w:r w:rsidR="009C7B83">
        <w:rPr>
          <w:sz w:val="24"/>
          <w:szCs w:val="24"/>
        </w:rPr>
        <w:t>and</w:t>
      </w:r>
      <w:r>
        <w:rPr>
          <w:sz w:val="24"/>
          <w:szCs w:val="24"/>
        </w:rPr>
        <w:t xml:space="preserve"> Neglect Prevention Board Publications Page: </w:t>
      </w:r>
      <w:bookmarkEnd w:id="4"/>
      <w:r w:rsidRPr="00CA1C5F">
        <w:rPr>
          <w:rFonts w:cstheme="minorHAnsi"/>
          <w:sz w:val="24"/>
          <w:szCs w:val="24"/>
        </w:rPr>
        <w:fldChar w:fldCharType="begin"/>
      </w:r>
      <w:r w:rsidRPr="00CA1C5F">
        <w:rPr>
          <w:rFonts w:cstheme="minorHAnsi"/>
          <w:sz w:val="24"/>
          <w:szCs w:val="24"/>
        </w:rPr>
        <w:instrText xml:space="preserve"> HYPERLINK "https://preventionboard.wi.gov/Pages/OurWork/Publications.aspx" </w:instrText>
      </w:r>
      <w:r w:rsidRPr="00CA1C5F">
        <w:rPr>
          <w:rFonts w:cstheme="minorHAnsi"/>
          <w:sz w:val="24"/>
          <w:szCs w:val="24"/>
        </w:rPr>
      </w:r>
      <w:r w:rsidRPr="00CA1C5F">
        <w:rPr>
          <w:rFonts w:cstheme="minorHAnsi"/>
          <w:sz w:val="24"/>
          <w:szCs w:val="24"/>
        </w:rPr>
        <w:fldChar w:fldCharType="separate"/>
      </w:r>
      <w:r w:rsidRPr="00CA1C5F">
        <w:rPr>
          <w:rStyle w:val="Hyperlink"/>
          <w:rFonts w:cstheme="minorHAnsi"/>
          <w:sz w:val="24"/>
          <w:szCs w:val="24"/>
        </w:rPr>
        <w:t>https://preventionboard.wi.gov/Pages/OurWork/Publications.aspx</w:t>
      </w:r>
      <w:r w:rsidRPr="00CA1C5F">
        <w:rPr>
          <w:rFonts w:cstheme="minorHAnsi"/>
          <w:sz w:val="24"/>
          <w:szCs w:val="24"/>
        </w:rPr>
        <w:fldChar w:fldCharType="end"/>
      </w:r>
      <w:r w:rsidR="00F56EA4">
        <w:rPr>
          <w:rFonts w:cstheme="minorHAnsi"/>
          <w:sz w:val="24"/>
          <w:szCs w:val="24"/>
        </w:rPr>
        <w:t>. [</w:t>
      </w:r>
      <w:r w:rsidR="00F56EA4" w:rsidRPr="00762C63">
        <w:rPr>
          <w:rFonts w:cstheme="minorHAnsi"/>
          <w:sz w:val="24"/>
          <w:szCs w:val="24"/>
        </w:rPr>
        <w:t>Adverse Childhood Experiences</w:t>
      </w:r>
      <w:r w:rsidR="00F56EA4">
        <w:rPr>
          <w:rFonts w:cstheme="minorHAnsi"/>
          <w:sz w:val="24"/>
          <w:szCs w:val="24"/>
        </w:rPr>
        <w:t xml:space="preserve"> </w:t>
      </w:r>
      <w:r w:rsidR="00F56EA4" w:rsidRPr="00762C63">
        <w:rPr>
          <w:rFonts w:cstheme="minorHAnsi"/>
          <w:sz w:val="24"/>
          <w:szCs w:val="24"/>
        </w:rPr>
        <w:t>in Wisconsin: 2011 – 2015 Behavioral Risk Factor</w:t>
      </w:r>
      <w:r w:rsidR="00F56EA4">
        <w:rPr>
          <w:rFonts w:cstheme="minorHAnsi"/>
          <w:sz w:val="24"/>
          <w:szCs w:val="24"/>
        </w:rPr>
        <w:t xml:space="preserve"> </w:t>
      </w:r>
      <w:r w:rsidR="00F56EA4" w:rsidRPr="00762C63">
        <w:rPr>
          <w:rFonts w:cstheme="minorHAnsi"/>
          <w:sz w:val="24"/>
          <w:szCs w:val="24"/>
        </w:rPr>
        <w:t>Survey Findings. (2018). Madison, WI: Child Abuse</w:t>
      </w:r>
      <w:r w:rsidR="00F56EA4">
        <w:rPr>
          <w:rFonts w:cstheme="minorHAnsi"/>
          <w:sz w:val="24"/>
          <w:szCs w:val="24"/>
        </w:rPr>
        <w:t xml:space="preserve"> </w:t>
      </w:r>
      <w:r w:rsidR="00F56EA4" w:rsidRPr="00762C63">
        <w:rPr>
          <w:rFonts w:cstheme="minorHAnsi"/>
          <w:sz w:val="24"/>
          <w:szCs w:val="24"/>
        </w:rPr>
        <w:t>and Neglect Prevention Board.</w:t>
      </w:r>
      <w:r w:rsidR="00F56EA4">
        <w:rPr>
          <w:rFonts w:cstheme="minorHAnsi"/>
          <w:sz w:val="24"/>
          <w:szCs w:val="24"/>
        </w:rPr>
        <w:t>]</w:t>
      </w:r>
    </w:p>
    <w:p w14:paraId="5B00E9AE" w14:textId="698280FE" w:rsidR="00CE197C" w:rsidRDefault="00CE197C" w:rsidP="00525FB1">
      <w:pPr>
        <w:pStyle w:val="NoSpacing"/>
        <w:numPr>
          <w:ilvl w:val="0"/>
          <w:numId w:val="6"/>
        </w:numPr>
        <w:rPr>
          <w:sz w:val="24"/>
          <w:szCs w:val="24"/>
        </w:rPr>
      </w:pPr>
      <w:r w:rsidRPr="00CE197C">
        <w:rPr>
          <w:sz w:val="24"/>
          <w:szCs w:val="24"/>
        </w:rPr>
        <w:t xml:space="preserve">Study the distribution of ACE scores among Wisconsin Adults (Figure 2 on page 4) and keep in mind, </w:t>
      </w:r>
      <w:r w:rsidR="00A65283" w:rsidRPr="00CE197C">
        <w:rPr>
          <w:rFonts w:cstheme="minorHAnsi"/>
          <w:sz w:val="24"/>
          <w:szCs w:val="24"/>
        </w:rPr>
        <w:t>t</w:t>
      </w:r>
      <w:r w:rsidR="00A65283" w:rsidRPr="00CE197C">
        <w:rPr>
          <w:sz w:val="24"/>
          <w:szCs w:val="24"/>
        </w:rPr>
        <w:t>he higher the number of ACEs, the greater the likelihood of an adverse impact on mental, physical, and socioeconomic well-being in adulthood.</w:t>
      </w:r>
      <w:r>
        <w:rPr>
          <w:sz w:val="24"/>
          <w:szCs w:val="24"/>
        </w:rPr>
        <w:t xml:space="preserve">  Consider</w:t>
      </w:r>
      <w:r w:rsidR="00FC6042">
        <w:rPr>
          <w:sz w:val="24"/>
          <w:szCs w:val="24"/>
        </w:rPr>
        <w:t xml:space="preserve"> the following questions</w:t>
      </w:r>
      <w:r>
        <w:rPr>
          <w:sz w:val="24"/>
          <w:szCs w:val="24"/>
        </w:rPr>
        <w:t>:</w:t>
      </w:r>
    </w:p>
    <w:p w14:paraId="4E9B6FCE" w14:textId="3C1D2261" w:rsidR="00110384" w:rsidRDefault="00110384" w:rsidP="00110384">
      <w:pPr>
        <w:pStyle w:val="NoSpacing"/>
        <w:rPr>
          <w:sz w:val="24"/>
          <w:szCs w:val="24"/>
        </w:rPr>
      </w:pPr>
    </w:p>
    <w:tbl>
      <w:tblPr>
        <w:tblStyle w:val="TableGrid"/>
        <w:tblW w:w="0" w:type="auto"/>
        <w:tblLook w:val="04A0" w:firstRow="1" w:lastRow="0" w:firstColumn="1" w:lastColumn="0" w:noHBand="0" w:noVBand="1"/>
      </w:tblPr>
      <w:tblGrid>
        <w:gridCol w:w="9350"/>
      </w:tblGrid>
      <w:tr w:rsidR="00110384" w:rsidRPr="002B0EC1" w14:paraId="164210F8" w14:textId="77777777" w:rsidTr="001E1CA4">
        <w:tc>
          <w:tcPr>
            <w:tcW w:w="9350" w:type="dxa"/>
          </w:tcPr>
          <w:p w14:paraId="403C5ABE" w14:textId="5E0A3004" w:rsidR="00110384" w:rsidRPr="00110384" w:rsidRDefault="00110384" w:rsidP="001E1CA4">
            <w:pPr>
              <w:rPr>
                <w:rFonts w:cstheme="minorHAnsi"/>
                <w:b/>
                <w:bCs/>
                <w:sz w:val="24"/>
                <w:szCs w:val="24"/>
              </w:rPr>
            </w:pPr>
            <w:r w:rsidRPr="00110384">
              <w:rPr>
                <w:rFonts w:cstheme="minorHAnsi"/>
                <w:b/>
                <w:bCs/>
                <w:sz w:val="24"/>
                <w:szCs w:val="24"/>
              </w:rPr>
              <w:t>What implications could this have for your practice with families?</w:t>
            </w:r>
          </w:p>
          <w:p w14:paraId="47E0E816" w14:textId="77777777" w:rsidR="00110384" w:rsidRPr="009E4F51" w:rsidRDefault="00110384" w:rsidP="001E1CA4">
            <w:pPr>
              <w:rPr>
                <w:rFonts w:eastAsia="Times New Roman" w:cstheme="minorHAnsi"/>
                <w:b/>
                <w:bCs/>
                <w:color w:val="000000"/>
                <w:sz w:val="24"/>
                <w:szCs w:val="24"/>
                <w:u w:val="single"/>
              </w:rPr>
            </w:pPr>
          </w:p>
          <w:p w14:paraId="667200D0" w14:textId="77777777" w:rsidR="00110384" w:rsidRPr="002B0EC1" w:rsidRDefault="00110384"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3E962AF1" w14:textId="77777777" w:rsidR="00110384" w:rsidRDefault="00110384" w:rsidP="001E1CA4">
            <w:pPr>
              <w:rPr>
                <w:rFonts w:cstheme="minorHAnsi"/>
                <w:sz w:val="24"/>
                <w:szCs w:val="24"/>
              </w:rPr>
            </w:pPr>
          </w:p>
          <w:p w14:paraId="21FA314D" w14:textId="77777777" w:rsidR="00110384" w:rsidRPr="009E4F51" w:rsidRDefault="00110384" w:rsidP="001E1CA4">
            <w:pPr>
              <w:rPr>
                <w:rFonts w:cstheme="minorHAnsi"/>
                <w:sz w:val="24"/>
                <w:szCs w:val="24"/>
              </w:rPr>
            </w:pPr>
          </w:p>
        </w:tc>
      </w:tr>
      <w:tr w:rsidR="00110384" w:rsidRPr="002B0EC1" w14:paraId="66958ABA" w14:textId="77777777" w:rsidTr="001E1CA4">
        <w:tc>
          <w:tcPr>
            <w:tcW w:w="9350" w:type="dxa"/>
          </w:tcPr>
          <w:p w14:paraId="7F91C432" w14:textId="67BD2390" w:rsidR="00110384" w:rsidRPr="00110384" w:rsidRDefault="00110384" w:rsidP="001E1CA4">
            <w:pPr>
              <w:rPr>
                <w:rFonts w:eastAsia="Times New Roman" w:cstheme="minorHAnsi"/>
                <w:b/>
                <w:bCs/>
                <w:color w:val="000000"/>
                <w:sz w:val="24"/>
                <w:szCs w:val="24"/>
              </w:rPr>
            </w:pPr>
            <w:r w:rsidRPr="00110384">
              <w:rPr>
                <w:rFonts w:cstheme="minorHAnsi"/>
                <w:b/>
                <w:bCs/>
                <w:sz w:val="24"/>
                <w:szCs w:val="24"/>
              </w:rPr>
              <w:t>What strategies could you implement to work effectively with families and their trauma history?</w:t>
            </w:r>
          </w:p>
          <w:p w14:paraId="1620A4A8" w14:textId="77777777" w:rsidR="00110384" w:rsidRPr="002B0EC1" w:rsidRDefault="00110384" w:rsidP="001E1CA4">
            <w:pPr>
              <w:rPr>
                <w:rFonts w:eastAsia="Times New Roman" w:cstheme="minorHAnsi"/>
                <w:b/>
                <w:bCs/>
                <w:color w:val="000000"/>
                <w:sz w:val="24"/>
                <w:szCs w:val="24"/>
              </w:rPr>
            </w:pPr>
          </w:p>
          <w:p w14:paraId="7D59897C" w14:textId="77777777" w:rsidR="00110384" w:rsidRPr="002B0EC1" w:rsidRDefault="00110384"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bookmarkStart w:id="5" w:name="Text1"/>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bookmarkEnd w:id="5"/>
          </w:p>
          <w:p w14:paraId="6EFC4CAF" w14:textId="77777777" w:rsidR="00110384" w:rsidRPr="002B0EC1" w:rsidRDefault="00110384" w:rsidP="001E1CA4">
            <w:pPr>
              <w:rPr>
                <w:rFonts w:eastAsia="Times New Roman" w:cstheme="minorHAnsi"/>
                <w:b/>
                <w:bCs/>
                <w:color w:val="000000"/>
                <w:sz w:val="24"/>
                <w:szCs w:val="24"/>
              </w:rPr>
            </w:pPr>
          </w:p>
          <w:p w14:paraId="6016D27A" w14:textId="77777777" w:rsidR="00110384" w:rsidRPr="002B0EC1" w:rsidRDefault="00110384" w:rsidP="001E1CA4">
            <w:pPr>
              <w:rPr>
                <w:rFonts w:cstheme="minorHAnsi"/>
                <w:sz w:val="24"/>
                <w:szCs w:val="24"/>
              </w:rPr>
            </w:pPr>
          </w:p>
        </w:tc>
      </w:tr>
    </w:tbl>
    <w:p w14:paraId="644BFBDD" w14:textId="70A236FD" w:rsidR="00D75830" w:rsidRPr="00110384" w:rsidRDefault="00D75830" w:rsidP="00110384">
      <w:pPr>
        <w:pStyle w:val="NoSpacing"/>
        <w:rPr>
          <w:sz w:val="24"/>
          <w:szCs w:val="24"/>
        </w:rPr>
      </w:pPr>
    </w:p>
    <w:p w14:paraId="64E39EEB" w14:textId="560A4962" w:rsidR="00A65283" w:rsidRPr="00CE197C" w:rsidRDefault="00D75830" w:rsidP="00525FB1">
      <w:pPr>
        <w:pStyle w:val="NoSpacing"/>
        <w:numPr>
          <w:ilvl w:val="0"/>
          <w:numId w:val="10"/>
        </w:numPr>
        <w:rPr>
          <w:sz w:val="24"/>
          <w:szCs w:val="24"/>
        </w:rPr>
      </w:pPr>
      <w:r>
        <w:rPr>
          <w:rFonts w:cstheme="minorHAnsi"/>
          <w:sz w:val="24"/>
          <w:szCs w:val="24"/>
        </w:rPr>
        <w:t>Discuss your thoughts with your supervisor or coach</w:t>
      </w:r>
      <w:r w:rsidR="00110384">
        <w:rPr>
          <w:rFonts w:cstheme="minorHAnsi"/>
          <w:sz w:val="24"/>
          <w:szCs w:val="24"/>
        </w:rPr>
        <w:t xml:space="preserve"> and e</w:t>
      </w:r>
      <w:r w:rsidR="00FC6042">
        <w:rPr>
          <w:rFonts w:cstheme="minorHAnsi"/>
          <w:sz w:val="24"/>
          <w:szCs w:val="24"/>
        </w:rPr>
        <w:t xml:space="preserve">xplore </w:t>
      </w:r>
      <w:r w:rsidR="00110384">
        <w:rPr>
          <w:rFonts w:cstheme="minorHAnsi"/>
          <w:sz w:val="24"/>
          <w:szCs w:val="24"/>
        </w:rPr>
        <w:t xml:space="preserve">with them </w:t>
      </w:r>
      <w:r w:rsidR="00FC6042">
        <w:rPr>
          <w:rFonts w:cstheme="minorHAnsi"/>
          <w:sz w:val="24"/>
          <w:szCs w:val="24"/>
        </w:rPr>
        <w:t>what your agency does to promote trauma informed practice.</w:t>
      </w:r>
    </w:p>
    <w:p w14:paraId="2BFD6A49" w14:textId="33E3313C" w:rsidR="00A65283" w:rsidRDefault="00A65283" w:rsidP="00CE197C">
      <w:pPr>
        <w:pStyle w:val="NoSpacing"/>
      </w:pPr>
    </w:p>
    <w:p w14:paraId="6486442E" w14:textId="70B31C2E" w:rsidR="00CE197C" w:rsidRPr="00CA1C5F" w:rsidRDefault="00F91409" w:rsidP="00FF0DDB">
      <w:pPr>
        <w:pStyle w:val="NoSpacing"/>
        <w:ind w:left="360"/>
        <w:rPr>
          <w:b/>
          <w:bCs/>
          <w:sz w:val="24"/>
          <w:szCs w:val="24"/>
          <w:u w:val="single"/>
        </w:rPr>
      </w:pPr>
      <w:r w:rsidRPr="00CE197C">
        <w:rPr>
          <w:rFonts w:cstheme="minorHAnsi"/>
          <w:b/>
          <w:bCs/>
          <w:sz w:val="24"/>
          <w:szCs w:val="24"/>
          <w:u w:val="single"/>
        </w:rPr>
        <w:t>Resource</w:t>
      </w:r>
      <w:r w:rsidR="00CE197C" w:rsidRPr="00CE197C">
        <w:rPr>
          <w:rFonts w:cstheme="minorHAnsi"/>
          <w:b/>
          <w:bCs/>
          <w:sz w:val="24"/>
          <w:szCs w:val="24"/>
          <w:u w:val="single"/>
        </w:rPr>
        <w:t xml:space="preserve"> for </w:t>
      </w:r>
      <w:r w:rsidR="00CE197C" w:rsidRPr="00CE197C">
        <w:rPr>
          <w:b/>
          <w:bCs/>
          <w:sz w:val="24"/>
          <w:szCs w:val="24"/>
          <w:u w:val="single"/>
        </w:rPr>
        <w:t xml:space="preserve">Option </w:t>
      </w:r>
      <w:r w:rsidR="0028024E">
        <w:rPr>
          <w:b/>
          <w:bCs/>
          <w:sz w:val="24"/>
          <w:szCs w:val="24"/>
          <w:u w:val="single"/>
        </w:rPr>
        <w:t>1</w:t>
      </w:r>
      <w:r w:rsidR="00CE197C" w:rsidRPr="00CE197C">
        <w:rPr>
          <w:b/>
          <w:bCs/>
          <w:sz w:val="24"/>
          <w:szCs w:val="24"/>
          <w:u w:val="single"/>
        </w:rPr>
        <w:t>: “Adverse Childhood Experiences in Wisconsin: 2011-2015 Behavioral Risk Factor Survey Findings</w:t>
      </w:r>
      <w:r w:rsidR="00CE197C">
        <w:rPr>
          <w:b/>
          <w:bCs/>
          <w:sz w:val="24"/>
          <w:szCs w:val="24"/>
          <w:u w:val="single"/>
        </w:rPr>
        <w:t>” Activity</w:t>
      </w:r>
      <w:r w:rsidR="00CE197C" w:rsidRPr="00CE197C">
        <w:rPr>
          <w:b/>
          <w:bCs/>
          <w:sz w:val="24"/>
          <w:szCs w:val="24"/>
        </w:rPr>
        <w:t xml:space="preserve"> </w:t>
      </w:r>
      <w:r w:rsidR="00CE197C" w:rsidRPr="00CA1C5F">
        <w:rPr>
          <w:b/>
          <w:bCs/>
          <w:sz w:val="24"/>
          <w:szCs w:val="24"/>
          <w:u w:val="single"/>
        </w:rPr>
        <w:t xml:space="preserve"> </w:t>
      </w:r>
    </w:p>
    <w:p w14:paraId="082856C3" w14:textId="72EE447A" w:rsidR="00CE197C" w:rsidRPr="00CE197C" w:rsidRDefault="00CE197C" w:rsidP="00FF0DDB">
      <w:pPr>
        <w:pStyle w:val="NoSpacing"/>
        <w:ind w:left="360"/>
        <w:rPr>
          <w:rFonts w:eastAsiaTheme="minorEastAsia"/>
          <w:sz w:val="24"/>
          <w:szCs w:val="24"/>
        </w:rPr>
      </w:pPr>
      <w:bookmarkStart w:id="6" w:name="_Hlk121479477"/>
      <w:r w:rsidRPr="00CE197C">
        <w:rPr>
          <w:rFonts w:eastAsiaTheme="minorEastAsia"/>
          <w:sz w:val="24"/>
          <w:szCs w:val="24"/>
        </w:rPr>
        <w:t xml:space="preserve">This resource section is provided to aid the post-activity supervisor/coach discussion with their child welfare professional after completion of Option </w:t>
      </w:r>
      <w:r w:rsidR="00D75830">
        <w:rPr>
          <w:rFonts w:eastAsiaTheme="minorEastAsia"/>
          <w:sz w:val="24"/>
          <w:szCs w:val="24"/>
        </w:rPr>
        <w:t>1</w:t>
      </w:r>
      <w:r w:rsidRPr="00CE197C">
        <w:rPr>
          <w:rFonts w:eastAsiaTheme="minorEastAsia"/>
          <w:sz w:val="24"/>
          <w:szCs w:val="24"/>
        </w:rPr>
        <w:t xml:space="preserve"> related to the </w:t>
      </w:r>
      <w:r>
        <w:rPr>
          <w:rFonts w:eastAsiaTheme="minorEastAsia"/>
          <w:sz w:val="24"/>
          <w:szCs w:val="24"/>
        </w:rPr>
        <w:t>Adverse Childhood Experiences in Wisconsin Activity.</w:t>
      </w:r>
    </w:p>
    <w:bookmarkEnd w:id="6"/>
    <w:p w14:paraId="0C918945" w14:textId="77777777" w:rsidR="00A65283" w:rsidRPr="00CE197C" w:rsidRDefault="00A65283" w:rsidP="00CE197C">
      <w:pPr>
        <w:pStyle w:val="NoSpacing"/>
        <w:rPr>
          <w:sz w:val="24"/>
          <w:szCs w:val="24"/>
        </w:rPr>
      </w:pPr>
    </w:p>
    <w:p w14:paraId="05DE8E21" w14:textId="78A5597C" w:rsidR="00A65283" w:rsidRPr="00A65283" w:rsidRDefault="00A65283" w:rsidP="00FF0DDB">
      <w:pPr>
        <w:autoSpaceDE w:val="0"/>
        <w:autoSpaceDN w:val="0"/>
        <w:adjustRightInd w:val="0"/>
        <w:spacing w:after="0" w:line="240" w:lineRule="auto"/>
        <w:ind w:firstLine="360"/>
        <w:rPr>
          <w:rFonts w:ascii="Calibri" w:hAnsi="Calibri" w:cs="Calibri"/>
          <w:sz w:val="24"/>
          <w:szCs w:val="24"/>
        </w:rPr>
      </w:pPr>
      <w:r w:rsidRPr="00A65283">
        <w:rPr>
          <w:rFonts w:ascii="Calibri" w:hAnsi="Calibri" w:cs="Calibri"/>
          <w:sz w:val="24"/>
          <w:szCs w:val="24"/>
        </w:rPr>
        <w:t>The cumulative results of the five years of the Wisconsin ACE Study confirm the impact</w:t>
      </w:r>
    </w:p>
    <w:p w14:paraId="69740E9A" w14:textId="57CE1B3C" w:rsidR="00A65283" w:rsidRPr="00A65283" w:rsidRDefault="00A65283" w:rsidP="00FF0DDB">
      <w:pPr>
        <w:autoSpaceDE w:val="0"/>
        <w:autoSpaceDN w:val="0"/>
        <w:adjustRightInd w:val="0"/>
        <w:spacing w:after="0" w:line="240" w:lineRule="auto"/>
        <w:ind w:firstLine="360"/>
        <w:rPr>
          <w:rFonts w:ascii="Calibri" w:hAnsi="Calibri" w:cs="Calibri"/>
          <w:sz w:val="24"/>
          <w:szCs w:val="24"/>
        </w:rPr>
      </w:pPr>
      <w:r w:rsidRPr="00A65283">
        <w:rPr>
          <w:rFonts w:ascii="Calibri" w:hAnsi="Calibri" w:cs="Calibri"/>
          <w:sz w:val="24"/>
          <w:szCs w:val="24"/>
        </w:rPr>
        <w:t>of ACEs on a wide spectrum of social, mental, and physical health outcomes among</w:t>
      </w:r>
    </w:p>
    <w:p w14:paraId="244AC4FE" w14:textId="77777777" w:rsidR="008A022F" w:rsidRDefault="00A65283" w:rsidP="00FF0DDB">
      <w:pPr>
        <w:autoSpaceDE w:val="0"/>
        <w:autoSpaceDN w:val="0"/>
        <w:adjustRightInd w:val="0"/>
        <w:spacing w:after="0" w:line="240" w:lineRule="auto"/>
        <w:ind w:firstLine="360"/>
        <w:rPr>
          <w:rFonts w:ascii="Calibri" w:hAnsi="Calibri" w:cs="Calibri"/>
          <w:sz w:val="24"/>
          <w:szCs w:val="24"/>
        </w:rPr>
      </w:pPr>
      <w:r w:rsidRPr="00A65283">
        <w:rPr>
          <w:rFonts w:ascii="Calibri" w:hAnsi="Calibri" w:cs="Calibri"/>
          <w:sz w:val="24"/>
          <w:szCs w:val="24"/>
        </w:rPr>
        <w:t xml:space="preserve">Wisconsin adults across all ages and social strata of the state. </w:t>
      </w:r>
    </w:p>
    <w:p w14:paraId="742224D7" w14:textId="77777777" w:rsidR="008A022F" w:rsidRDefault="008A022F" w:rsidP="00A65283">
      <w:pPr>
        <w:autoSpaceDE w:val="0"/>
        <w:autoSpaceDN w:val="0"/>
        <w:adjustRightInd w:val="0"/>
        <w:spacing w:after="0" w:line="240" w:lineRule="auto"/>
        <w:rPr>
          <w:rFonts w:ascii="Calibri" w:hAnsi="Calibri" w:cs="Calibri"/>
          <w:sz w:val="24"/>
          <w:szCs w:val="24"/>
        </w:rPr>
      </w:pPr>
    </w:p>
    <w:p w14:paraId="4CA796DD" w14:textId="46E6C04A" w:rsidR="008A022F" w:rsidRDefault="00A65283" w:rsidP="00FF0DDB">
      <w:pPr>
        <w:autoSpaceDE w:val="0"/>
        <w:autoSpaceDN w:val="0"/>
        <w:adjustRightInd w:val="0"/>
        <w:spacing w:after="0" w:line="240" w:lineRule="auto"/>
        <w:ind w:left="360"/>
        <w:rPr>
          <w:rFonts w:ascii="Calibri" w:hAnsi="Calibri" w:cs="Calibri"/>
          <w:sz w:val="24"/>
          <w:szCs w:val="24"/>
        </w:rPr>
      </w:pPr>
      <w:r w:rsidRPr="00A65283">
        <w:rPr>
          <w:rFonts w:ascii="Calibri" w:hAnsi="Calibri" w:cs="Calibri"/>
          <w:sz w:val="24"/>
          <w:szCs w:val="24"/>
        </w:rPr>
        <w:t>ACEs can be prevented or, if they occur, the effects can be mitigated. Therefore, ACEs need to be addressed across the</w:t>
      </w:r>
      <w:r w:rsidR="008A022F">
        <w:rPr>
          <w:rFonts w:ascii="Calibri" w:hAnsi="Calibri" w:cs="Calibri"/>
          <w:sz w:val="24"/>
          <w:szCs w:val="24"/>
        </w:rPr>
        <w:t xml:space="preserve"> </w:t>
      </w:r>
      <w:r w:rsidRPr="00A65283">
        <w:rPr>
          <w:rFonts w:ascii="Calibri" w:hAnsi="Calibri" w:cs="Calibri"/>
          <w:sz w:val="24"/>
          <w:szCs w:val="24"/>
        </w:rPr>
        <w:t xml:space="preserve">lifespan so that they do not continue to negatively affect the health and well-being of children into adulthood. Adults who have already been affected by childhood adversity and who have experienced trauma resulting in compromised health and well-being also need to be identified and supported. </w:t>
      </w:r>
    </w:p>
    <w:p w14:paraId="1F242F9A" w14:textId="77777777" w:rsidR="008A022F" w:rsidRDefault="008A022F" w:rsidP="00A65283">
      <w:pPr>
        <w:autoSpaceDE w:val="0"/>
        <w:autoSpaceDN w:val="0"/>
        <w:adjustRightInd w:val="0"/>
        <w:spacing w:after="0" w:line="240" w:lineRule="auto"/>
        <w:rPr>
          <w:rFonts w:ascii="Calibri" w:hAnsi="Calibri" w:cs="Calibri"/>
          <w:sz w:val="24"/>
          <w:szCs w:val="24"/>
        </w:rPr>
      </w:pPr>
    </w:p>
    <w:p w14:paraId="2D3D4206" w14:textId="54536A5C" w:rsidR="00A65283" w:rsidRPr="00A65283" w:rsidRDefault="00A65283" w:rsidP="00FF0DDB">
      <w:pPr>
        <w:autoSpaceDE w:val="0"/>
        <w:autoSpaceDN w:val="0"/>
        <w:adjustRightInd w:val="0"/>
        <w:spacing w:after="0" w:line="240" w:lineRule="auto"/>
        <w:ind w:left="360"/>
        <w:rPr>
          <w:rFonts w:ascii="Calibri" w:hAnsi="Calibri" w:cs="Calibri"/>
          <w:sz w:val="24"/>
          <w:szCs w:val="24"/>
        </w:rPr>
      </w:pPr>
      <w:r w:rsidRPr="00A65283">
        <w:rPr>
          <w:rFonts w:ascii="Calibri" w:hAnsi="Calibri" w:cs="Calibri"/>
          <w:sz w:val="24"/>
          <w:szCs w:val="24"/>
        </w:rPr>
        <w:t xml:space="preserve">On the state and local levels, efforts continue to increase education and outreach, which improve awareness and access to effective services. Institutions, agencies, programs, and communities each </w:t>
      </w:r>
      <w:proofErr w:type="gramStart"/>
      <w:r w:rsidRPr="00A65283">
        <w:rPr>
          <w:rFonts w:ascii="Calibri" w:hAnsi="Calibri" w:cs="Calibri"/>
          <w:sz w:val="24"/>
          <w:szCs w:val="24"/>
        </w:rPr>
        <w:t>have the opportunity to</w:t>
      </w:r>
      <w:proofErr w:type="gramEnd"/>
      <w:r w:rsidRPr="00A65283">
        <w:rPr>
          <w:rFonts w:ascii="Calibri" w:hAnsi="Calibri" w:cs="Calibri"/>
          <w:sz w:val="24"/>
          <w:szCs w:val="24"/>
        </w:rPr>
        <w:t xml:space="preserve"> use the findings from the Wisconsin ACE Study to mobilize their unique resources to prevent and mitigate the impact of ACEs.</w:t>
      </w:r>
    </w:p>
    <w:p w14:paraId="6502A7A6" w14:textId="63D1391B" w:rsidR="00A65283" w:rsidRDefault="00A65283" w:rsidP="00B40CAA">
      <w:pPr>
        <w:autoSpaceDE w:val="0"/>
        <w:autoSpaceDN w:val="0"/>
        <w:adjustRightInd w:val="0"/>
        <w:spacing w:after="0" w:line="240" w:lineRule="auto"/>
        <w:rPr>
          <w:rFonts w:ascii="Calibri" w:hAnsi="Calibri" w:cs="Calibri"/>
          <w:sz w:val="24"/>
          <w:szCs w:val="24"/>
        </w:rPr>
      </w:pPr>
    </w:p>
    <w:p w14:paraId="6C88B4F2" w14:textId="77777777" w:rsidR="003F1355" w:rsidRPr="00A65283" w:rsidRDefault="003F1355" w:rsidP="00B40CAA">
      <w:pPr>
        <w:autoSpaceDE w:val="0"/>
        <w:autoSpaceDN w:val="0"/>
        <w:adjustRightInd w:val="0"/>
        <w:spacing w:after="0" w:line="240" w:lineRule="auto"/>
        <w:rPr>
          <w:rFonts w:ascii="Calibri" w:hAnsi="Calibri" w:cs="Calibri"/>
          <w:sz w:val="24"/>
          <w:szCs w:val="24"/>
        </w:rPr>
      </w:pPr>
    </w:p>
    <w:p w14:paraId="13210B90" w14:textId="21353CE7" w:rsidR="008A3DC3" w:rsidRPr="00FC38C9" w:rsidRDefault="008A3DC3" w:rsidP="00FF0DDB">
      <w:pPr>
        <w:pStyle w:val="NoSpacing"/>
        <w:ind w:firstLine="360"/>
        <w:rPr>
          <w:b/>
          <w:bCs/>
          <w:sz w:val="24"/>
          <w:szCs w:val="24"/>
          <w:u w:val="single"/>
        </w:rPr>
      </w:pPr>
      <w:r w:rsidRPr="00FC38C9">
        <w:rPr>
          <w:b/>
          <w:bCs/>
          <w:sz w:val="24"/>
          <w:szCs w:val="24"/>
          <w:u w:val="single"/>
        </w:rPr>
        <w:t xml:space="preserve">Option </w:t>
      </w:r>
      <w:r w:rsidR="0028024E">
        <w:rPr>
          <w:b/>
          <w:bCs/>
          <w:sz w:val="24"/>
          <w:szCs w:val="24"/>
          <w:u w:val="single"/>
        </w:rPr>
        <w:t>2</w:t>
      </w:r>
      <w:r w:rsidR="00FC38C9" w:rsidRPr="00FC38C9">
        <w:rPr>
          <w:b/>
          <w:bCs/>
          <w:sz w:val="24"/>
          <w:szCs w:val="24"/>
          <w:u w:val="single"/>
        </w:rPr>
        <w:t>: Video “The Invisible Suitcase”</w:t>
      </w:r>
      <w:r w:rsidR="00D75830">
        <w:rPr>
          <w:b/>
          <w:bCs/>
          <w:sz w:val="24"/>
          <w:szCs w:val="24"/>
          <w:u w:val="single"/>
        </w:rPr>
        <w:t xml:space="preserve"> Activity</w:t>
      </w:r>
    </w:p>
    <w:p w14:paraId="6AD87455" w14:textId="6308C695" w:rsidR="00F56EA4" w:rsidRPr="00F56EA4" w:rsidRDefault="008A3DC3" w:rsidP="00F56EA4">
      <w:pPr>
        <w:pStyle w:val="NoSpacing"/>
        <w:numPr>
          <w:ilvl w:val="0"/>
          <w:numId w:val="6"/>
        </w:numPr>
        <w:ind w:left="720"/>
        <w:rPr>
          <w:rFonts w:ascii="Calibri" w:hAnsi="Calibri" w:cs="Calibri"/>
          <w:sz w:val="24"/>
          <w:szCs w:val="24"/>
        </w:rPr>
      </w:pPr>
      <w:r>
        <w:rPr>
          <w:rFonts w:ascii="Calibri" w:hAnsi="Calibri" w:cs="Calibri"/>
          <w:sz w:val="24"/>
          <w:szCs w:val="24"/>
        </w:rPr>
        <w:t>Watch the video, “The Invisible Suitcase”</w:t>
      </w:r>
      <w:r w:rsidR="00FC6042">
        <w:rPr>
          <w:rFonts w:ascii="Calibri" w:hAnsi="Calibri" w:cs="Calibri"/>
          <w:sz w:val="24"/>
          <w:szCs w:val="24"/>
        </w:rPr>
        <w:t xml:space="preserve"> (1:23)</w:t>
      </w:r>
      <w:r w:rsidR="00FC38C9">
        <w:rPr>
          <w:rFonts w:ascii="Calibri" w:hAnsi="Calibri" w:cs="Calibri"/>
          <w:sz w:val="24"/>
          <w:szCs w:val="24"/>
        </w:rPr>
        <w:t>:</w:t>
      </w:r>
      <w:r>
        <w:rPr>
          <w:rFonts w:ascii="Calibri" w:hAnsi="Calibri" w:cs="Calibri"/>
          <w:sz w:val="24"/>
          <w:szCs w:val="24"/>
        </w:rPr>
        <w:t xml:space="preserve"> </w:t>
      </w:r>
      <w:hyperlink r:id="rId7" w:history="1">
        <w:r w:rsidR="00D75830" w:rsidRPr="001431BE">
          <w:rPr>
            <w:rStyle w:val="Hyperlink"/>
            <w:rFonts w:ascii="Calibri" w:hAnsi="Calibri" w:cs="Calibri"/>
            <w:sz w:val="24"/>
            <w:szCs w:val="24"/>
          </w:rPr>
          <w:t>https://www.youtube.com/watch?v=wmzy6fRLcCU</w:t>
        </w:r>
      </w:hyperlink>
      <w:r w:rsidR="00F56EA4">
        <w:rPr>
          <w:rFonts w:ascii="Calibri" w:hAnsi="Calibri" w:cs="Calibri"/>
          <w:sz w:val="24"/>
          <w:szCs w:val="24"/>
        </w:rPr>
        <w:t>. [</w:t>
      </w:r>
      <w:r w:rsidR="00F56EA4" w:rsidRPr="00F56EA4">
        <w:rPr>
          <w:rFonts w:cstheme="minorHAnsi"/>
          <w:sz w:val="24"/>
          <w:szCs w:val="24"/>
        </w:rPr>
        <w:t xml:space="preserve">Film was made by Child Bereavement UK </w:t>
      </w:r>
      <w:hyperlink r:id="rId8" w:history="1">
        <w:r w:rsidR="00F56EA4" w:rsidRPr="00F56EA4">
          <w:rPr>
            <w:rStyle w:val="Hyperlink"/>
            <w:rFonts w:cstheme="minorHAnsi"/>
            <w:sz w:val="24"/>
            <w:szCs w:val="24"/>
          </w:rPr>
          <w:t>https://www.childbereavementuk.org/</w:t>
        </w:r>
      </w:hyperlink>
      <w:r w:rsidR="00F56EA4">
        <w:rPr>
          <w:rFonts w:cstheme="minorHAnsi"/>
          <w:sz w:val="24"/>
          <w:szCs w:val="24"/>
        </w:rPr>
        <w:t xml:space="preserve">, </w:t>
      </w:r>
      <w:r w:rsidR="00F56EA4">
        <w:rPr>
          <w:rFonts w:cstheme="minorHAnsi"/>
          <w:sz w:val="24"/>
          <w:szCs w:val="24"/>
          <w:lang w:val="en-GB"/>
        </w:rPr>
        <w:t>ba</w:t>
      </w:r>
      <w:r w:rsidR="00F56EA4" w:rsidRPr="00F56EA4">
        <w:rPr>
          <w:rFonts w:cstheme="minorHAnsi"/>
          <w:sz w:val="24"/>
          <w:szCs w:val="24"/>
          <w:lang w:val="en-GB"/>
        </w:rPr>
        <w:t>sed on </w:t>
      </w:r>
      <w:r w:rsidR="00F56EA4" w:rsidRPr="00F56EA4">
        <w:rPr>
          <w:rStyle w:val="Emphasis"/>
          <w:rFonts w:cstheme="minorHAnsi"/>
          <w:sz w:val="24"/>
          <w:szCs w:val="24"/>
          <w:lang w:val="en-GB"/>
        </w:rPr>
        <w:t>The Invisible Suitcase</w:t>
      </w:r>
      <w:r w:rsidR="00F56EA4" w:rsidRPr="00F56EA4">
        <w:rPr>
          <w:rFonts w:cstheme="minorHAnsi"/>
          <w:sz w:val="24"/>
          <w:szCs w:val="24"/>
          <w:lang w:val="en-GB"/>
        </w:rPr>
        <w:t> © Ian Woodroffe. Animation © Child Bereavement UK.</w:t>
      </w:r>
      <w:r w:rsidR="00F56EA4">
        <w:rPr>
          <w:rFonts w:cstheme="minorHAnsi"/>
          <w:sz w:val="24"/>
          <w:szCs w:val="24"/>
          <w:lang w:val="en-GB"/>
        </w:rPr>
        <w:t>]</w:t>
      </w:r>
    </w:p>
    <w:p w14:paraId="100C57FD" w14:textId="3AEE8105" w:rsidR="00FC6042" w:rsidRDefault="000007CD" w:rsidP="00F56EA4">
      <w:pPr>
        <w:pStyle w:val="NoSpacing"/>
        <w:numPr>
          <w:ilvl w:val="0"/>
          <w:numId w:val="6"/>
        </w:numPr>
        <w:ind w:left="720"/>
        <w:rPr>
          <w:rFonts w:ascii="Calibri" w:hAnsi="Calibri" w:cs="Calibri"/>
          <w:sz w:val="24"/>
          <w:szCs w:val="24"/>
        </w:rPr>
      </w:pPr>
      <w:r>
        <w:rPr>
          <w:rFonts w:ascii="Calibri" w:hAnsi="Calibri" w:cs="Calibri"/>
          <w:sz w:val="24"/>
          <w:szCs w:val="24"/>
        </w:rPr>
        <w:t xml:space="preserve">Consider: </w:t>
      </w:r>
      <w:r w:rsidR="00FC6042">
        <w:rPr>
          <w:rFonts w:ascii="Calibri" w:hAnsi="Calibri" w:cs="Calibri"/>
          <w:sz w:val="24"/>
          <w:szCs w:val="24"/>
        </w:rPr>
        <w:t>How does this metaphor help you to understand yourself and others?</w:t>
      </w:r>
    </w:p>
    <w:p w14:paraId="2FA47EE6" w14:textId="6B434DCB" w:rsidR="00531A51" w:rsidRPr="00FC38C9" w:rsidRDefault="00FC38C9" w:rsidP="00F56EA4">
      <w:pPr>
        <w:pStyle w:val="NoSpacing"/>
        <w:numPr>
          <w:ilvl w:val="0"/>
          <w:numId w:val="6"/>
        </w:numPr>
        <w:ind w:left="720"/>
        <w:rPr>
          <w:rFonts w:ascii="Calibri" w:hAnsi="Calibri" w:cs="Calibri"/>
          <w:sz w:val="24"/>
          <w:szCs w:val="24"/>
        </w:rPr>
      </w:pPr>
      <w:r>
        <w:rPr>
          <w:rFonts w:ascii="Calibri" w:hAnsi="Calibri" w:cs="Calibri"/>
          <w:sz w:val="24"/>
          <w:szCs w:val="24"/>
        </w:rPr>
        <w:t>Identify the</w:t>
      </w:r>
      <w:r w:rsidR="00531A51" w:rsidRPr="00FC38C9">
        <w:rPr>
          <w:rFonts w:cstheme="minorHAnsi"/>
          <w:sz w:val="24"/>
          <w:szCs w:val="24"/>
        </w:rPr>
        <w:t xml:space="preserve"> tools or strategies you </w:t>
      </w:r>
      <w:r>
        <w:rPr>
          <w:rFonts w:cstheme="minorHAnsi"/>
          <w:sz w:val="24"/>
          <w:szCs w:val="24"/>
        </w:rPr>
        <w:t xml:space="preserve">might </w:t>
      </w:r>
      <w:r w:rsidR="00531A51" w:rsidRPr="00FC38C9">
        <w:rPr>
          <w:rFonts w:cstheme="minorHAnsi"/>
          <w:sz w:val="24"/>
          <w:szCs w:val="24"/>
        </w:rPr>
        <w:t>use to help the families you work with “unpack” their invisible suitcase</w:t>
      </w:r>
      <w:r>
        <w:rPr>
          <w:rFonts w:cstheme="minorHAnsi"/>
          <w:sz w:val="24"/>
          <w:szCs w:val="24"/>
        </w:rPr>
        <w:t xml:space="preserve"> and discuss </w:t>
      </w:r>
      <w:r w:rsidR="00D75830">
        <w:rPr>
          <w:rFonts w:cstheme="minorHAnsi"/>
          <w:sz w:val="24"/>
          <w:szCs w:val="24"/>
        </w:rPr>
        <w:t xml:space="preserve">these </w:t>
      </w:r>
      <w:r>
        <w:rPr>
          <w:rFonts w:cstheme="minorHAnsi"/>
          <w:sz w:val="24"/>
          <w:szCs w:val="24"/>
        </w:rPr>
        <w:t>with your supervisor</w:t>
      </w:r>
      <w:r w:rsidR="00D75830">
        <w:rPr>
          <w:rFonts w:cstheme="minorHAnsi"/>
          <w:sz w:val="24"/>
          <w:szCs w:val="24"/>
        </w:rPr>
        <w:t xml:space="preserve"> or coach</w:t>
      </w:r>
    </w:p>
    <w:p w14:paraId="27385C83" w14:textId="3841CC15" w:rsidR="00531A51" w:rsidRPr="00D75830" w:rsidRDefault="00531A51" w:rsidP="00D75830">
      <w:pPr>
        <w:pStyle w:val="NoSpacing"/>
        <w:rPr>
          <w:sz w:val="24"/>
          <w:szCs w:val="24"/>
        </w:rPr>
      </w:pPr>
    </w:p>
    <w:p w14:paraId="7DDFE475" w14:textId="1C383D5A" w:rsidR="00531A51" w:rsidRPr="00FC38C9" w:rsidRDefault="00531A51" w:rsidP="00FF0DDB">
      <w:pPr>
        <w:pStyle w:val="NoSpacing"/>
        <w:ind w:firstLine="360"/>
        <w:rPr>
          <w:rFonts w:cstheme="minorHAnsi"/>
          <w:b/>
          <w:bCs/>
          <w:sz w:val="24"/>
          <w:szCs w:val="24"/>
          <w:u w:val="single"/>
        </w:rPr>
      </w:pPr>
      <w:r w:rsidRPr="00FC38C9">
        <w:rPr>
          <w:rFonts w:cstheme="minorHAnsi"/>
          <w:b/>
          <w:bCs/>
          <w:sz w:val="24"/>
          <w:szCs w:val="24"/>
          <w:u w:val="single"/>
        </w:rPr>
        <w:t>Resource</w:t>
      </w:r>
      <w:r w:rsidR="00FC38C9" w:rsidRPr="00FC38C9">
        <w:rPr>
          <w:rFonts w:cstheme="minorHAnsi"/>
          <w:b/>
          <w:bCs/>
          <w:sz w:val="24"/>
          <w:szCs w:val="24"/>
          <w:u w:val="single"/>
        </w:rPr>
        <w:t xml:space="preserve"> for</w:t>
      </w:r>
      <w:r w:rsidR="00FC38C9" w:rsidRPr="00FC38C9">
        <w:rPr>
          <w:b/>
          <w:bCs/>
          <w:sz w:val="24"/>
          <w:szCs w:val="24"/>
          <w:u w:val="single"/>
        </w:rPr>
        <w:t xml:space="preserve"> Option </w:t>
      </w:r>
      <w:r w:rsidR="0028024E">
        <w:rPr>
          <w:b/>
          <w:bCs/>
          <w:sz w:val="24"/>
          <w:szCs w:val="24"/>
          <w:u w:val="single"/>
        </w:rPr>
        <w:t>2</w:t>
      </w:r>
      <w:r w:rsidR="00FC38C9" w:rsidRPr="00FC38C9">
        <w:rPr>
          <w:b/>
          <w:bCs/>
          <w:sz w:val="24"/>
          <w:szCs w:val="24"/>
          <w:u w:val="single"/>
        </w:rPr>
        <w:t>: Video “The Invisible Suitcase”</w:t>
      </w:r>
      <w:r w:rsidR="00FC38C9" w:rsidRPr="00FC38C9">
        <w:rPr>
          <w:rFonts w:cstheme="minorHAnsi"/>
          <w:b/>
          <w:bCs/>
          <w:sz w:val="24"/>
          <w:szCs w:val="24"/>
          <w:u w:val="single"/>
        </w:rPr>
        <w:t xml:space="preserve"> </w:t>
      </w:r>
      <w:r w:rsidRPr="00FC38C9">
        <w:rPr>
          <w:rFonts w:cstheme="minorHAnsi"/>
          <w:b/>
          <w:bCs/>
          <w:sz w:val="24"/>
          <w:szCs w:val="24"/>
          <w:u w:val="single"/>
        </w:rPr>
        <w:t xml:space="preserve"> </w:t>
      </w:r>
    </w:p>
    <w:p w14:paraId="0871661E" w14:textId="37701B00" w:rsidR="00FC38C9" w:rsidRPr="00CE197C" w:rsidRDefault="00FC38C9" w:rsidP="00FF0DDB">
      <w:pPr>
        <w:pStyle w:val="NoSpacing"/>
        <w:ind w:left="360"/>
        <w:rPr>
          <w:rFonts w:eastAsiaTheme="minorEastAsia"/>
          <w:sz w:val="24"/>
          <w:szCs w:val="24"/>
        </w:rPr>
      </w:pPr>
      <w:r w:rsidRPr="00CE197C">
        <w:rPr>
          <w:rFonts w:eastAsiaTheme="minorEastAsia"/>
          <w:sz w:val="24"/>
          <w:szCs w:val="24"/>
        </w:rPr>
        <w:t xml:space="preserve">This resource section is provided to aid the post-activity supervisor/coach discussion with their child welfare professional after completion of Option </w:t>
      </w:r>
      <w:r w:rsidR="00D75830">
        <w:rPr>
          <w:rFonts w:eastAsiaTheme="minorEastAsia"/>
          <w:sz w:val="24"/>
          <w:szCs w:val="24"/>
        </w:rPr>
        <w:t>2</w:t>
      </w:r>
      <w:r w:rsidRPr="00CE197C">
        <w:rPr>
          <w:rFonts w:eastAsiaTheme="minorEastAsia"/>
          <w:sz w:val="24"/>
          <w:szCs w:val="24"/>
        </w:rPr>
        <w:t xml:space="preserve"> related to </w:t>
      </w:r>
      <w:r>
        <w:rPr>
          <w:rFonts w:eastAsiaTheme="minorEastAsia"/>
          <w:sz w:val="24"/>
          <w:szCs w:val="24"/>
        </w:rPr>
        <w:t>“The Invisible Suitcase” Video Activity.</w:t>
      </w:r>
    </w:p>
    <w:p w14:paraId="2E148573" w14:textId="645046FF" w:rsidR="00531A51" w:rsidRPr="00D75830" w:rsidRDefault="00531A51" w:rsidP="00FC38C9">
      <w:pPr>
        <w:pStyle w:val="NoSpacing"/>
        <w:rPr>
          <w:sz w:val="24"/>
          <w:szCs w:val="24"/>
        </w:rPr>
      </w:pPr>
    </w:p>
    <w:p w14:paraId="3FFA4481" w14:textId="46611905" w:rsidR="008A3DC3" w:rsidRPr="00D002F3" w:rsidRDefault="00531A51" w:rsidP="00FF0DDB">
      <w:pPr>
        <w:pStyle w:val="NoSpacing"/>
        <w:ind w:left="360"/>
        <w:rPr>
          <w:sz w:val="24"/>
          <w:szCs w:val="24"/>
        </w:rPr>
      </w:pPr>
      <w:r w:rsidRPr="00FC38C9">
        <w:rPr>
          <w:sz w:val="24"/>
          <w:szCs w:val="24"/>
        </w:rPr>
        <w:t>T</w:t>
      </w:r>
      <w:r w:rsidR="008A3DC3" w:rsidRPr="00FC38C9">
        <w:rPr>
          <w:sz w:val="24"/>
          <w:szCs w:val="24"/>
        </w:rPr>
        <w:t xml:space="preserve">he film uses the metaphor of an invisible suitcase to show how we all carry our experiences and emotions through life. </w:t>
      </w:r>
      <w:r w:rsidR="00FC38C9">
        <w:rPr>
          <w:sz w:val="24"/>
          <w:szCs w:val="24"/>
        </w:rPr>
        <w:t xml:space="preserve">It </w:t>
      </w:r>
      <w:r w:rsidRPr="00531A51">
        <w:rPr>
          <w:rFonts w:eastAsia="Times New Roman" w:cstheme="minorHAnsi"/>
          <w:color w:val="333333"/>
          <w:sz w:val="24"/>
          <w:szCs w:val="24"/>
        </w:rPr>
        <w:t xml:space="preserve">is intended to </w:t>
      </w:r>
      <w:r w:rsidR="008A3DC3" w:rsidRPr="008A3DC3">
        <w:rPr>
          <w:rFonts w:eastAsia="Times New Roman" w:cstheme="minorHAnsi"/>
          <w:color w:val="333333"/>
          <w:sz w:val="24"/>
          <w:szCs w:val="24"/>
        </w:rPr>
        <w:t>help children and adults</w:t>
      </w:r>
      <w:r>
        <w:rPr>
          <w:rFonts w:eastAsia="Times New Roman" w:cstheme="minorHAnsi"/>
          <w:color w:val="333333"/>
          <w:sz w:val="24"/>
          <w:szCs w:val="24"/>
        </w:rPr>
        <w:t xml:space="preserve"> </w:t>
      </w:r>
      <w:r w:rsidR="008A3DC3" w:rsidRPr="008A3DC3">
        <w:rPr>
          <w:rFonts w:eastAsia="Times New Roman" w:cstheme="minorHAnsi"/>
          <w:color w:val="333333"/>
          <w:sz w:val="24"/>
          <w:szCs w:val="24"/>
        </w:rPr>
        <w:t>understand that their feelings are normal</w:t>
      </w:r>
      <w:r w:rsidR="00D002F3">
        <w:rPr>
          <w:rFonts w:eastAsia="Times New Roman" w:cstheme="minorHAnsi"/>
          <w:color w:val="333333"/>
          <w:sz w:val="24"/>
          <w:szCs w:val="24"/>
        </w:rPr>
        <w:t>.  W</w:t>
      </w:r>
      <w:r w:rsidRPr="00531A51">
        <w:rPr>
          <w:rFonts w:eastAsia="Times New Roman" w:cstheme="minorHAnsi"/>
          <w:color w:val="333333"/>
          <w:sz w:val="24"/>
          <w:szCs w:val="24"/>
        </w:rPr>
        <w:t xml:space="preserve">hile feelings of grief, sadness, and worry </w:t>
      </w:r>
      <w:r w:rsidR="00D002F3">
        <w:rPr>
          <w:rFonts w:eastAsia="Times New Roman" w:cstheme="minorHAnsi"/>
          <w:color w:val="333333"/>
          <w:sz w:val="24"/>
          <w:szCs w:val="24"/>
        </w:rPr>
        <w:t>may</w:t>
      </w:r>
      <w:r>
        <w:rPr>
          <w:rFonts w:eastAsia="Times New Roman" w:cstheme="minorHAnsi"/>
          <w:color w:val="333333"/>
          <w:sz w:val="24"/>
          <w:szCs w:val="24"/>
        </w:rPr>
        <w:t xml:space="preserve"> </w:t>
      </w:r>
      <w:r w:rsidR="008A3DC3" w:rsidRPr="008A3DC3">
        <w:rPr>
          <w:rFonts w:eastAsia="Times New Roman" w:cstheme="minorHAnsi"/>
          <w:color w:val="333333"/>
          <w:sz w:val="24"/>
          <w:szCs w:val="24"/>
        </w:rPr>
        <w:t xml:space="preserve">always </w:t>
      </w:r>
      <w:r w:rsidR="00D002F3">
        <w:rPr>
          <w:rFonts w:eastAsia="Times New Roman" w:cstheme="minorHAnsi"/>
          <w:color w:val="333333"/>
          <w:sz w:val="24"/>
          <w:szCs w:val="24"/>
        </w:rPr>
        <w:t>be present</w:t>
      </w:r>
      <w:r w:rsidR="008A3DC3" w:rsidRPr="008A3DC3">
        <w:rPr>
          <w:rFonts w:eastAsia="Times New Roman" w:cstheme="minorHAnsi"/>
          <w:color w:val="333333"/>
          <w:sz w:val="24"/>
          <w:szCs w:val="24"/>
        </w:rPr>
        <w:t>, by reaching out for support</w:t>
      </w:r>
      <w:r w:rsidR="00D002F3">
        <w:rPr>
          <w:rFonts w:eastAsia="Times New Roman" w:cstheme="minorHAnsi"/>
          <w:color w:val="333333"/>
          <w:sz w:val="24"/>
          <w:szCs w:val="24"/>
        </w:rPr>
        <w:t xml:space="preserve"> and considering how to respond</w:t>
      </w:r>
      <w:r>
        <w:rPr>
          <w:rFonts w:eastAsia="Times New Roman" w:cstheme="minorHAnsi"/>
          <w:color w:val="333333"/>
          <w:sz w:val="24"/>
          <w:szCs w:val="24"/>
        </w:rPr>
        <w:t>,</w:t>
      </w:r>
      <w:r w:rsidR="008A3DC3" w:rsidRPr="008A3DC3">
        <w:rPr>
          <w:rFonts w:eastAsia="Times New Roman" w:cstheme="minorHAnsi"/>
          <w:color w:val="333333"/>
          <w:sz w:val="24"/>
          <w:szCs w:val="24"/>
        </w:rPr>
        <w:t xml:space="preserve"> </w:t>
      </w:r>
      <w:r w:rsidR="00D002F3">
        <w:rPr>
          <w:rFonts w:eastAsia="Times New Roman" w:cstheme="minorHAnsi"/>
          <w:color w:val="333333"/>
          <w:sz w:val="24"/>
          <w:szCs w:val="24"/>
        </w:rPr>
        <w:t>they</w:t>
      </w:r>
      <w:r w:rsidR="008A3DC3" w:rsidRPr="008A3DC3">
        <w:rPr>
          <w:rFonts w:eastAsia="Times New Roman" w:cstheme="minorHAnsi"/>
          <w:color w:val="333333"/>
          <w:sz w:val="24"/>
          <w:szCs w:val="24"/>
        </w:rPr>
        <w:t xml:space="preserve"> </w:t>
      </w:r>
      <w:r w:rsidR="00D002F3">
        <w:rPr>
          <w:rFonts w:eastAsia="Times New Roman" w:cstheme="minorHAnsi"/>
          <w:color w:val="333333"/>
          <w:sz w:val="24"/>
          <w:szCs w:val="24"/>
        </w:rPr>
        <w:t xml:space="preserve">are </w:t>
      </w:r>
      <w:r w:rsidR="008A3DC3" w:rsidRPr="008A3DC3">
        <w:rPr>
          <w:rFonts w:eastAsia="Times New Roman" w:cstheme="minorHAnsi"/>
          <w:color w:val="333333"/>
          <w:sz w:val="24"/>
          <w:szCs w:val="24"/>
        </w:rPr>
        <w:t xml:space="preserve">something that can </w:t>
      </w:r>
      <w:r w:rsidR="00D002F3">
        <w:rPr>
          <w:rFonts w:eastAsia="Times New Roman" w:cstheme="minorHAnsi"/>
          <w:color w:val="333333"/>
          <w:sz w:val="24"/>
          <w:szCs w:val="24"/>
        </w:rPr>
        <w:t>be</w:t>
      </w:r>
      <w:r w:rsidR="008A3DC3" w:rsidRPr="008A3DC3">
        <w:rPr>
          <w:rFonts w:eastAsia="Times New Roman" w:cstheme="minorHAnsi"/>
          <w:color w:val="333333"/>
          <w:sz w:val="24"/>
          <w:szCs w:val="24"/>
        </w:rPr>
        <w:t xml:space="preserve"> manage</w:t>
      </w:r>
      <w:r w:rsidR="00D002F3">
        <w:rPr>
          <w:rFonts w:eastAsia="Times New Roman" w:cstheme="minorHAnsi"/>
          <w:color w:val="333333"/>
          <w:sz w:val="24"/>
          <w:szCs w:val="24"/>
        </w:rPr>
        <w:t>d</w:t>
      </w:r>
      <w:r w:rsidR="008A3DC3" w:rsidRPr="008A3DC3">
        <w:rPr>
          <w:rFonts w:eastAsia="Times New Roman" w:cstheme="minorHAnsi"/>
          <w:color w:val="333333"/>
          <w:sz w:val="24"/>
          <w:szCs w:val="24"/>
        </w:rPr>
        <w:t>.</w:t>
      </w:r>
      <w:r w:rsidR="00D002F3">
        <w:rPr>
          <w:rFonts w:eastAsia="Times New Roman" w:cstheme="minorHAnsi"/>
          <w:color w:val="333333"/>
          <w:sz w:val="24"/>
          <w:szCs w:val="24"/>
        </w:rPr>
        <w:t xml:space="preserve">  </w:t>
      </w:r>
      <w:r w:rsidRPr="00531A51">
        <w:rPr>
          <w:rFonts w:eastAsia="Times New Roman" w:cstheme="minorHAnsi"/>
          <w:color w:val="333333"/>
          <w:sz w:val="24"/>
          <w:szCs w:val="24"/>
        </w:rPr>
        <w:t xml:space="preserve">This film </w:t>
      </w:r>
      <w:r w:rsidR="00D002F3">
        <w:rPr>
          <w:rFonts w:eastAsia="Times New Roman" w:cstheme="minorHAnsi"/>
          <w:color w:val="333333"/>
          <w:sz w:val="24"/>
          <w:szCs w:val="24"/>
        </w:rPr>
        <w:t>is a good</w:t>
      </w:r>
      <w:r w:rsidRPr="00531A51">
        <w:rPr>
          <w:rFonts w:eastAsia="Times New Roman" w:cstheme="minorHAnsi"/>
          <w:color w:val="333333"/>
          <w:sz w:val="24"/>
          <w:szCs w:val="24"/>
        </w:rPr>
        <w:t xml:space="preserve"> resource and tool to share with </w:t>
      </w:r>
      <w:r w:rsidR="00D75830" w:rsidRPr="00531A51">
        <w:rPr>
          <w:rFonts w:eastAsia="Times New Roman" w:cstheme="minorHAnsi"/>
          <w:color w:val="333333"/>
          <w:sz w:val="24"/>
          <w:szCs w:val="24"/>
        </w:rPr>
        <w:t>children</w:t>
      </w:r>
      <w:r w:rsidRPr="00531A51">
        <w:rPr>
          <w:rFonts w:eastAsia="Times New Roman" w:cstheme="minorHAnsi"/>
          <w:color w:val="333333"/>
          <w:sz w:val="24"/>
          <w:szCs w:val="24"/>
        </w:rPr>
        <w:t xml:space="preserve"> and families </w:t>
      </w:r>
      <w:r w:rsidR="00D002F3">
        <w:rPr>
          <w:rFonts w:eastAsia="Times New Roman" w:cstheme="minorHAnsi"/>
          <w:color w:val="333333"/>
          <w:sz w:val="24"/>
          <w:szCs w:val="24"/>
        </w:rPr>
        <w:t>in child welfare</w:t>
      </w:r>
      <w:r w:rsidRPr="00531A51">
        <w:rPr>
          <w:rFonts w:eastAsia="Times New Roman" w:cstheme="minorHAnsi"/>
          <w:color w:val="333333"/>
          <w:sz w:val="24"/>
          <w:szCs w:val="24"/>
        </w:rPr>
        <w:t xml:space="preserve">.  </w:t>
      </w:r>
    </w:p>
    <w:sectPr w:rsidR="008A3DC3" w:rsidRPr="00D002F3" w:rsidSect="00D75830">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297C" w14:textId="77777777" w:rsidR="004D3F0C" w:rsidRDefault="004D3F0C" w:rsidP="00EE77BD">
      <w:pPr>
        <w:spacing w:after="0" w:line="240" w:lineRule="auto"/>
      </w:pPr>
      <w:r>
        <w:separator/>
      </w:r>
    </w:p>
  </w:endnote>
  <w:endnote w:type="continuationSeparator" w:id="0">
    <w:p w14:paraId="4FBFDD1F" w14:textId="77777777" w:rsidR="004D3F0C" w:rsidRDefault="004D3F0C" w:rsidP="00EE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roximaNova-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A815" w14:textId="48B8B704" w:rsidR="00EE77BD" w:rsidRDefault="00EE77BD">
    <w:pPr>
      <w:pStyle w:val="Footer"/>
      <w:jc w:val="right"/>
    </w:pPr>
  </w:p>
  <w:p w14:paraId="71520179" w14:textId="10A0C392" w:rsidR="002B4A05" w:rsidRPr="00A10581" w:rsidRDefault="002B4A05" w:rsidP="002B4A05">
    <w:pPr>
      <w:tabs>
        <w:tab w:val="center" w:pos="4680"/>
        <w:tab w:val="right" w:pos="9360"/>
      </w:tabs>
      <w:spacing w:after="0" w:line="240" w:lineRule="auto"/>
      <w:rPr>
        <w:rFonts w:eastAsiaTheme="minorEastAsia"/>
      </w:rPr>
    </w:pPr>
    <w:r w:rsidRPr="00A10581">
      <w:rPr>
        <w:rFonts w:eastAsiaTheme="minorEastAsia"/>
      </w:rPr>
      <w:t xml:space="preserve">Pre-Service </w:t>
    </w:r>
    <w:r w:rsidRPr="00A10581">
      <w:rPr>
        <w:rFonts w:eastAsiaTheme="minorEastAsia" w:cstheme="minorHAnsi"/>
        <w:bCs/>
      </w:rPr>
      <w:t xml:space="preserve">Module: </w:t>
    </w:r>
    <w:r>
      <w:rPr>
        <w:rFonts w:eastAsiaTheme="minorEastAsia" w:cstheme="minorHAnsi"/>
        <w:bCs/>
      </w:rPr>
      <w:t>Trauma</w:t>
    </w:r>
    <w:r w:rsidRPr="00A10581">
      <w:rPr>
        <w:rFonts w:eastAsiaTheme="minorEastAsia" w:cstheme="minorHAnsi"/>
        <w:bCs/>
      </w:rPr>
      <w:t xml:space="preserve">; Section </w:t>
    </w:r>
    <w:r>
      <w:rPr>
        <w:rFonts w:eastAsiaTheme="minorEastAsia" w:cstheme="minorHAnsi"/>
        <w:bCs/>
      </w:rPr>
      <w:t>1</w:t>
    </w:r>
    <w:r w:rsidRPr="00A10581">
      <w:rPr>
        <w:rFonts w:eastAsiaTheme="minorEastAsia" w:cstheme="minorHAnsi"/>
        <w:bCs/>
      </w:rPr>
      <w:t xml:space="preserve">: </w:t>
    </w:r>
    <w:r>
      <w:rPr>
        <w:rFonts w:eastAsiaTheme="minorEastAsia" w:cstheme="minorHAnsi"/>
        <w:bCs/>
      </w:rPr>
      <w:t>Trauma</w:t>
    </w:r>
    <w:r>
      <w:rPr>
        <w:rFonts w:eastAsiaTheme="minorEastAsia" w:cstheme="minorHAnsi"/>
        <w:bCs/>
      </w:rPr>
      <w:tab/>
    </w:r>
    <w:r w:rsidRPr="00A10581">
      <w:rPr>
        <w:rFonts w:eastAsiaTheme="minorEastAsia"/>
      </w:rPr>
      <w:tab/>
      <w:t xml:space="preserve">Page </w:t>
    </w:r>
    <w:r w:rsidRPr="00A10581">
      <w:rPr>
        <w:rFonts w:eastAsiaTheme="minorEastAsia"/>
        <w:b/>
        <w:bCs/>
        <w:sz w:val="24"/>
        <w:szCs w:val="24"/>
      </w:rPr>
      <w:fldChar w:fldCharType="begin"/>
    </w:r>
    <w:r w:rsidRPr="00A10581">
      <w:rPr>
        <w:rFonts w:eastAsiaTheme="minorEastAsia"/>
        <w:b/>
        <w:bCs/>
      </w:rPr>
      <w:instrText xml:space="preserve"> PAGE </w:instrText>
    </w:r>
    <w:r w:rsidRPr="00A10581">
      <w:rPr>
        <w:rFonts w:eastAsiaTheme="minorEastAsia"/>
        <w:b/>
        <w:bCs/>
        <w:sz w:val="24"/>
        <w:szCs w:val="24"/>
      </w:rPr>
      <w:fldChar w:fldCharType="separate"/>
    </w:r>
    <w:r>
      <w:rPr>
        <w:rFonts w:eastAsiaTheme="minorEastAsia"/>
        <w:b/>
        <w:bCs/>
        <w:sz w:val="24"/>
        <w:szCs w:val="24"/>
      </w:rPr>
      <w:t>2</w:t>
    </w:r>
    <w:r w:rsidRPr="00A10581">
      <w:rPr>
        <w:rFonts w:eastAsiaTheme="minorEastAsia"/>
        <w:b/>
        <w:bCs/>
        <w:sz w:val="24"/>
        <w:szCs w:val="24"/>
      </w:rPr>
      <w:fldChar w:fldCharType="end"/>
    </w:r>
    <w:r w:rsidRPr="00A10581">
      <w:rPr>
        <w:rFonts w:eastAsiaTheme="minorEastAsia"/>
      </w:rPr>
      <w:t xml:space="preserve"> of </w:t>
    </w:r>
    <w:r w:rsidRPr="00A10581">
      <w:rPr>
        <w:rFonts w:eastAsiaTheme="minorEastAsia"/>
        <w:b/>
        <w:bCs/>
        <w:sz w:val="24"/>
        <w:szCs w:val="24"/>
      </w:rPr>
      <w:fldChar w:fldCharType="begin"/>
    </w:r>
    <w:r w:rsidRPr="00A10581">
      <w:rPr>
        <w:rFonts w:eastAsiaTheme="minorEastAsia"/>
        <w:b/>
        <w:bCs/>
      </w:rPr>
      <w:instrText xml:space="preserve"> NUMPAGES  </w:instrText>
    </w:r>
    <w:r w:rsidRPr="00A10581">
      <w:rPr>
        <w:rFonts w:eastAsiaTheme="minorEastAsia"/>
        <w:b/>
        <w:bCs/>
        <w:sz w:val="24"/>
        <w:szCs w:val="24"/>
      </w:rPr>
      <w:fldChar w:fldCharType="separate"/>
    </w:r>
    <w:r>
      <w:rPr>
        <w:rFonts w:eastAsiaTheme="minorEastAsia"/>
        <w:b/>
        <w:bCs/>
        <w:sz w:val="24"/>
        <w:szCs w:val="24"/>
      </w:rPr>
      <w:t>3</w:t>
    </w:r>
    <w:r w:rsidRPr="00A10581">
      <w:rPr>
        <w:rFonts w:eastAsiaTheme="minorEastAsia"/>
        <w:b/>
        <w:bCs/>
        <w:sz w:val="24"/>
        <w:szCs w:val="24"/>
      </w:rPr>
      <w:fldChar w:fldCharType="end"/>
    </w:r>
  </w:p>
  <w:p w14:paraId="4CC33A01" w14:textId="074F062F" w:rsidR="00EE77BD" w:rsidRDefault="00F56EA4" w:rsidP="002B4A05">
    <w:pPr>
      <w:pStyle w:val="Footer"/>
      <w:tabs>
        <w:tab w:val="clear" w:pos="4680"/>
        <w:tab w:val="clear" w:pos="9360"/>
        <w:tab w:val="left" w:pos="5485"/>
      </w:tabs>
    </w:pPr>
    <w:r>
      <w:t>Updated 4/7/2023</w:t>
    </w:r>
    <w:r w:rsidR="002B4A0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E14D" w14:textId="77777777" w:rsidR="004D3F0C" w:rsidRDefault="004D3F0C" w:rsidP="00EE77BD">
      <w:pPr>
        <w:spacing w:after="0" w:line="240" w:lineRule="auto"/>
      </w:pPr>
      <w:r>
        <w:separator/>
      </w:r>
    </w:p>
  </w:footnote>
  <w:footnote w:type="continuationSeparator" w:id="0">
    <w:p w14:paraId="581803F1" w14:textId="77777777" w:rsidR="004D3F0C" w:rsidRDefault="004D3F0C" w:rsidP="00EE7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2176"/>
    <w:multiLevelType w:val="hybridMultilevel"/>
    <w:tmpl w:val="D4BE1220"/>
    <w:lvl w:ilvl="0" w:tplc="D7C8B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D5FBE"/>
    <w:multiLevelType w:val="multilevel"/>
    <w:tmpl w:val="8D8E12E0"/>
    <w:lvl w:ilvl="0">
      <w:start w:val="1"/>
      <w:numFmt w:val="decimal"/>
      <w:lvlText w:val="%1."/>
      <w:lvlJc w:val="left"/>
      <w:pPr>
        <w:tabs>
          <w:tab w:val="num" w:pos="7470"/>
        </w:tabs>
        <w:ind w:left="7470" w:hanging="360"/>
      </w:pPr>
    </w:lvl>
    <w:lvl w:ilvl="1" w:tentative="1">
      <w:start w:val="1"/>
      <w:numFmt w:val="decimal"/>
      <w:lvlText w:val="%2."/>
      <w:lvlJc w:val="left"/>
      <w:pPr>
        <w:tabs>
          <w:tab w:val="num" w:pos="8190"/>
        </w:tabs>
        <w:ind w:left="8190" w:hanging="360"/>
      </w:pPr>
    </w:lvl>
    <w:lvl w:ilvl="2" w:tentative="1">
      <w:start w:val="1"/>
      <w:numFmt w:val="decimal"/>
      <w:lvlText w:val="%3."/>
      <w:lvlJc w:val="left"/>
      <w:pPr>
        <w:tabs>
          <w:tab w:val="num" w:pos="8910"/>
        </w:tabs>
        <w:ind w:left="8910" w:hanging="360"/>
      </w:pPr>
    </w:lvl>
    <w:lvl w:ilvl="3" w:tentative="1">
      <w:start w:val="1"/>
      <w:numFmt w:val="decimal"/>
      <w:lvlText w:val="%4."/>
      <w:lvlJc w:val="left"/>
      <w:pPr>
        <w:tabs>
          <w:tab w:val="num" w:pos="9630"/>
        </w:tabs>
        <w:ind w:left="9630" w:hanging="360"/>
      </w:pPr>
    </w:lvl>
    <w:lvl w:ilvl="4" w:tentative="1">
      <w:start w:val="1"/>
      <w:numFmt w:val="decimal"/>
      <w:lvlText w:val="%5."/>
      <w:lvlJc w:val="left"/>
      <w:pPr>
        <w:tabs>
          <w:tab w:val="num" w:pos="10350"/>
        </w:tabs>
        <w:ind w:left="10350" w:hanging="360"/>
      </w:pPr>
    </w:lvl>
    <w:lvl w:ilvl="5" w:tentative="1">
      <w:start w:val="1"/>
      <w:numFmt w:val="decimal"/>
      <w:lvlText w:val="%6."/>
      <w:lvlJc w:val="left"/>
      <w:pPr>
        <w:tabs>
          <w:tab w:val="num" w:pos="11070"/>
        </w:tabs>
        <w:ind w:left="11070" w:hanging="360"/>
      </w:pPr>
    </w:lvl>
    <w:lvl w:ilvl="6" w:tentative="1">
      <w:start w:val="1"/>
      <w:numFmt w:val="decimal"/>
      <w:lvlText w:val="%7."/>
      <w:lvlJc w:val="left"/>
      <w:pPr>
        <w:tabs>
          <w:tab w:val="num" w:pos="11790"/>
        </w:tabs>
        <w:ind w:left="11790" w:hanging="360"/>
      </w:pPr>
    </w:lvl>
    <w:lvl w:ilvl="7" w:tentative="1">
      <w:start w:val="1"/>
      <w:numFmt w:val="decimal"/>
      <w:lvlText w:val="%8."/>
      <w:lvlJc w:val="left"/>
      <w:pPr>
        <w:tabs>
          <w:tab w:val="num" w:pos="12510"/>
        </w:tabs>
        <w:ind w:left="12510" w:hanging="360"/>
      </w:pPr>
    </w:lvl>
    <w:lvl w:ilvl="8" w:tentative="1">
      <w:start w:val="1"/>
      <w:numFmt w:val="decimal"/>
      <w:lvlText w:val="%9."/>
      <w:lvlJc w:val="left"/>
      <w:pPr>
        <w:tabs>
          <w:tab w:val="num" w:pos="13230"/>
        </w:tabs>
        <w:ind w:left="13230" w:hanging="360"/>
      </w:pPr>
    </w:lvl>
  </w:abstractNum>
  <w:abstractNum w:abstractNumId="2" w15:restartNumberingAfterBreak="0">
    <w:nsid w:val="26A1161E"/>
    <w:multiLevelType w:val="hybridMultilevel"/>
    <w:tmpl w:val="7534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3064C"/>
    <w:multiLevelType w:val="hybridMultilevel"/>
    <w:tmpl w:val="8708A6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F0FC5"/>
    <w:multiLevelType w:val="hybridMultilevel"/>
    <w:tmpl w:val="6BD08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61D9E"/>
    <w:multiLevelType w:val="hybridMultilevel"/>
    <w:tmpl w:val="D89E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D45DDE"/>
    <w:multiLevelType w:val="hybridMultilevel"/>
    <w:tmpl w:val="A8E2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40685"/>
    <w:multiLevelType w:val="hybridMultilevel"/>
    <w:tmpl w:val="F6769262"/>
    <w:lvl w:ilvl="0" w:tplc="0409000B">
      <w:start w:val="1"/>
      <w:numFmt w:val="bullet"/>
      <w:lvlText w:val=""/>
      <w:lvlJc w:val="left"/>
      <w:pPr>
        <w:ind w:left="77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210" w:hanging="360"/>
      </w:pPr>
      <w:rPr>
        <w:rFonts w:ascii="Courier New" w:hAnsi="Courier New" w:cs="Courier New"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98B68E5"/>
    <w:multiLevelType w:val="hybridMultilevel"/>
    <w:tmpl w:val="EC5ACF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70F72"/>
    <w:multiLevelType w:val="hybridMultilevel"/>
    <w:tmpl w:val="79BC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682562">
    <w:abstractNumId w:val="2"/>
  </w:num>
  <w:num w:numId="2" w16cid:durableId="177503504">
    <w:abstractNumId w:val="1"/>
  </w:num>
  <w:num w:numId="3" w16cid:durableId="1209874748">
    <w:abstractNumId w:val="9"/>
  </w:num>
  <w:num w:numId="4" w16cid:durableId="70785175">
    <w:abstractNumId w:val="8"/>
  </w:num>
  <w:num w:numId="5" w16cid:durableId="27265564">
    <w:abstractNumId w:val="3"/>
  </w:num>
  <w:num w:numId="6" w16cid:durableId="1833518778">
    <w:abstractNumId w:val="7"/>
  </w:num>
  <w:num w:numId="7" w16cid:durableId="1752119946">
    <w:abstractNumId w:val="5"/>
  </w:num>
  <w:num w:numId="8" w16cid:durableId="1009261654">
    <w:abstractNumId w:val="6"/>
  </w:num>
  <w:num w:numId="9" w16cid:durableId="1240018842">
    <w:abstractNumId w:val="0"/>
  </w:num>
  <w:num w:numId="10" w16cid:durableId="942879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C7"/>
    <w:rsid w:val="000007CD"/>
    <w:rsid w:val="00024FBD"/>
    <w:rsid w:val="000B13AB"/>
    <w:rsid w:val="000C3DA2"/>
    <w:rsid w:val="00110384"/>
    <w:rsid w:val="00127213"/>
    <w:rsid w:val="001A1B8F"/>
    <w:rsid w:val="001E1C15"/>
    <w:rsid w:val="0028024E"/>
    <w:rsid w:val="002B4A05"/>
    <w:rsid w:val="00363E46"/>
    <w:rsid w:val="0039257B"/>
    <w:rsid w:val="003F1355"/>
    <w:rsid w:val="003F6CE7"/>
    <w:rsid w:val="0042464F"/>
    <w:rsid w:val="0046797E"/>
    <w:rsid w:val="00474648"/>
    <w:rsid w:val="00497C8A"/>
    <w:rsid w:val="004D3F0C"/>
    <w:rsid w:val="005059C7"/>
    <w:rsid w:val="00525FB1"/>
    <w:rsid w:val="00531A51"/>
    <w:rsid w:val="005F5D3C"/>
    <w:rsid w:val="00676D66"/>
    <w:rsid w:val="00680F03"/>
    <w:rsid w:val="0073196B"/>
    <w:rsid w:val="00766C1E"/>
    <w:rsid w:val="007A2204"/>
    <w:rsid w:val="007F3BB8"/>
    <w:rsid w:val="00844710"/>
    <w:rsid w:val="008A022F"/>
    <w:rsid w:val="008A3DC3"/>
    <w:rsid w:val="008C438A"/>
    <w:rsid w:val="0092339B"/>
    <w:rsid w:val="009C7B83"/>
    <w:rsid w:val="00A65283"/>
    <w:rsid w:val="00B310CA"/>
    <w:rsid w:val="00B40A0C"/>
    <w:rsid w:val="00B40CAA"/>
    <w:rsid w:val="00B90C68"/>
    <w:rsid w:val="00B97EE6"/>
    <w:rsid w:val="00C34882"/>
    <w:rsid w:val="00C65395"/>
    <w:rsid w:val="00C67583"/>
    <w:rsid w:val="00CA1C5F"/>
    <w:rsid w:val="00CA433C"/>
    <w:rsid w:val="00CE197C"/>
    <w:rsid w:val="00D002F3"/>
    <w:rsid w:val="00D40F06"/>
    <w:rsid w:val="00D75830"/>
    <w:rsid w:val="00D93C09"/>
    <w:rsid w:val="00DA1D79"/>
    <w:rsid w:val="00DD6981"/>
    <w:rsid w:val="00DE7990"/>
    <w:rsid w:val="00E025D0"/>
    <w:rsid w:val="00E02B7F"/>
    <w:rsid w:val="00E30DB2"/>
    <w:rsid w:val="00E94E67"/>
    <w:rsid w:val="00EE77BD"/>
    <w:rsid w:val="00F56EA4"/>
    <w:rsid w:val="00F91409"/>
    <w:rsid w:val="00F93731"/>
    <w:rsid w:val="00FC38C9"/>
    <w:rsid w:val="00FC6042"/>
    <w:rsid w:val="00FF0CBA"/>
    <w:rsid w:val="00FF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8277"/>
  <w15:chartTrackingRefBased/>
  <w15:docId w15:val="{9E791CCC-7E88-453D-B9B0-38DC4723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2B7F"/>
    <w:pPr>
      <w:keepNext/>
      <w:spacing w:before="240" w:after="60" w:line="360" w:lineRule="auto"/>
      <w:outlineLvl w:val="0"/>
    </w:pPr>
    <w:rPr>
      <w:rFonts w:ascii="Calibri" w:eastAsia="MS Mincho" w:hAnsi="Calibri" w:cs="Arial"/>
      <w:b/>
      <w:bCs/>
      <w:color w:val="1F497D"/>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2B7F"/>
    <w:rPr>
      <w:rFonts w:ascii="Calibri" w:eastAsia="MS Mincho" w:hAnsi="Calibri" w:cs="Arial"/>
      <w:b/>
      <w:bCs/>
      <w:color w:val="1F497D"/>
      <w:kern w:val="32"/>
      <w:sz w:val="32"/>
      <w:szCs w:val="32"/>
      <w:lang w:eastAsia="ja-JP"/>
    </w:rPr>
  </w:style>
  <w:style w:type="paragraph" w:styleId="Title">
    <w:name w:val="Title"/>
    <w:basedOn w:val="Normal"/>
    <w:link w:val="TitleChar"/>
    <w:qFormat/>
    <w:rsid w:val="00E02B7F"/>
    <w:pPr>
      <w:spacing w:before="240" w:after="60" w:line="360" w:lineRule="auto"/>
      <w:outlineLvl w:val="0"/>
    </w:pPr>
    <w:rPr>
      <w:rFonts w:ascii="Calibri" w:eastAsia="MS Mincho" w:hAnsi="Calibri" w:cs="Arial"/>
      <w:b/>
      <w:bCs/>
      <w:color w:val="000000"/>
      <w:kern w:val="28"/>
      <w:sz w:val="32"/>
      <w:szCs w:val="32"/>
      <w:lang w:eastAsia="ja-JP"/>
    </w:rPr>
  </w:style>
  <w:style w:type="character" w:customStyle="1" w:styleId="TitleChar">
    <w:name w:val="Title Char"/>
    <w:basedOn w:val="DefaultParagraphFont"/>
    <w:link w:val="Title"/>
    <w:rsid w:val="00E02B7F"/>
    <w:rPr>
      <w:rFonts w:ascii="Calibri" w:eastAsia="MS Mincho" w:hAnsi="Calibri" w:cs="Arial"/>
      <w:b/>
      <w:bCs/>
      <w:color w:val="000000"/>
      <w:kern w:val="28"/>
      <w:sz w:val="32"/>
      <w:szCs w:val="32"/>
      <w:lang w:eastAsia="ja-JP"/>
    </w:rPr>
  </w:style>
  <w:style w:type="paragraph" w:styleId="ListParagraph">
    <w:name w:val="List Paragraph"/>
    <w:basedOn w:val="Normal"/>
    <w:uiPriority w:val="34"/>
    <w:qFormat/>
    <w:rsid w:val="00E02B7F"/>
    <w:pPr>
      <w:ind w:left="720"/>
      <w:contextualSpacing/>
    </w:pPr>
  </w:style>
  <w:style w:type="character" w:styleId="Hyperlink">
    <w:name w:val="Hyperlink"/>
    <w:basedOn w:val="DefaultParagraphFont"/>
    <w:uiPriority w:val="99"/>
    <w:unhideWhenUsed/>
    <w:rsid w:val="0046797E"/>
    <w:rPr>
      <w:color w:val="0000FF"/>
      <w:u w:val="single"/>
    </w:rPr>
  </w:style>
  <w:style w:type="paragraph" w:styleId="NormalWeb">
    <w:name w:val="Normal (Web)"/>
    <w:basedOn w:val="Normal"/>
    <w:uiPriority w:val="99"/>
    <w:semiHidden/>
    <w:unhideWhenUsed/>
    <w:rsid w:val="004679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7BD"/>
  </w:style>
  <w:style w:type="paragraph" w:styleId="Footer">
    <w:name w:val="footer"/>
    <w:basedOn w:val="Normal"/>
    <w:link w:val="FooterChar"/>
    <w:uiPriority w:val="99"/>
    <w:unhideWhenUsed/>
    <w:rsid w:val="00EE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7BD"/>
  </w:style>
  <w:style w:type="paragraph" w:styleId="NoSpacing">
    <w:name w:val="No Spacing"/>
    <w:uiPriority w:val="1"/>
    <w:qFormat/>
    <w:rsid w:val="00D40F06"/>
    <w:pPr>
      <w:spacing w:after="0" w:line="240" w:lineRule="auto"/>
    </w:pPr>
  </w:style>
  <w:style w:type="table" w:styleId="TableGrid">
    <w:name w:val="Table Grid"/>
    <w:basedOn w:val="TableNormal"/>
    <w:uiPriority w:val="39"/>
    <w:rsid w:val="00B3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5D0"/>
    <w:rPr>
      <w:color w:val="954F72" w:themeColor="followedHyperlink"/>
      <w:u w:val="single"/>
    </w:rPr>
  </w:style>
  <w:style w:type="character" w:styleId="UnresolvedMention">
    <w:name w:val="Unresolved Mention"/>
    <w:basedOn w:val="DefaultParagraphFont"/>
    <w:uiPriority w:val="99"/>
    <w:semiHidden/>
    <w:unhideWhenUsed/>
    <w:rsid w:val="00CA1C5F"/>
    <w:rPr>
      <w:color w:val="605E5C"/>
      <w:shd w:val="clear" w:color="auto" w:fill="E1DFDD"/>
    </w:rPr>
  </w:style>
  <w:style w:type="paragraph" w:styleId="Revision">
    <w:name w:val="Revision"/>
    <w:hidden/>
    <w:uiPriority w:val="99"/>
    <w:semiHidden/>
    <w:rsid w:val="00C65395"/>
    <w:pPr>
      <w:spacing w:after="0" w:line="240" w:lineRule="auto"/>
    </w:pPr>
  </w:style>
  <w:style w:type="character" w:styleId="Emphasis">
    <w:name w:val="Emphasis"/>
    <w:basedOn w:val="DefaultParagraphFont"/>
    <w:uiPriority w:val="20"/>
    <w:qFormat/>
    <w:rsid w:val="00F56E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1903">
      <w:bodyDiv w:val="1"/>
      <w:marLeft w:val="0"/>
      <w:marRight w:val="0"/>
      <w:marTop w:val="0"/>
      <w:marBottom w:val="0"/>
      <w:divBdr>
        <w:top w:val="none" w:sz="0" w:space="0" w:color="auto"/>
        <w:left w:val="none" w:sz="0" w:space="0" w:color="auto"/>
        <w:bottom w:val="none" w:sz="0" w:space="0" w:color="auto"/>
        <w:right w:val="none" w:sz="0" w:space="0" w:color="auto"/>
      </w:divBdr>
      <w:divsChild>
        <w:div w:id="1015570453">
          <w:marLeft w:val="210"/>
          <w:marRight w:val="0"/>
          <w:marTop w:val="60"/>
          <w:marBottom w:val="180"/>
          <w:divBdr>
            <w:top w:val="none" w:sz="0" w:space="0" w:color="auto"/>
            <w:left w:val="none" w:sz="0" w:space="0" w:color="auto"/>
            <w:bottom w:val="none" w:sz="0" w:space="0" w:color="auto"/>
            <w:right w:val="none" w:sz="0" w:space="0" w:color="auto"/>
          </w:divBdr>
        </w:div>
      </w:divsChild>
    </w:div>
    <w:div w:id="18201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bereavementuk.org/" TargetMode="External"/><Relationship Id="rId3" Type="http://schemas.openxmlformats.org/officeDocument/2006/relationships/settings" Target="settings.xml"/><Relationship Id="rId7" Type="http://schemas.openxmlformats.org/officeDocument/2006/relationships/hyperlink" Target="https://www.youtube.com/watch?v=wmzy6fRLc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5</cp:revision>
  <dcterms:created xsi:type="dcterms:W3CDTF">2023-04-07T20:26:00Z</dcterms:created>
  <dcterms:modified xsi:type="dcterms:W3CDTF">2023-04-07T21:03:00Z</dcterms:modified>
</cp:coreProperties>
</file>