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172E" w14:textId="77777777" w:rsidR="00CA6A9D" w:rsidRDefault="00CA6A9D" w:rsidP="00E5612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A6A9D">
        <w:rPr>
          <w:rFonts w:eastAsia="Times New Roman" w:cstheme="minorHAnsi"/>
          <w:b/>
          <w:bCs/>
          <w:sz w:val="32"/>
          <w:szCs w:val="32"/>
        </w:rPr>
        <w:t xml:space="preserve">Introduction to </w:t>
      </w:r>
      <w:r w:rsidRPr="00CA6A9D">
        <w:rPr>
          <w:rFonts w:eastAsia="Times New Roman" w:cstheme="minorHAnsi"/>
          <w:b/>
          <w:bCs/>
          <w:sz w:val="32"/>
          <w:szCs w:val="32"/>
        </w:rPr>
        <w:t xml:space="preserve">the </w:t>
      </w:r>
      <w:r w:rsidRPr="00CA6A9D">
        <w:rPr>
          <w:rFonts w:cstheme="minorHAnsi"/>
          <w:b/>
          <w:bCs/>
          <w:sz w:val="32"/>
          <w:szCs w:val="32"/>
        </w:rPr>
        <w:t xml:space="preserve">Case Worker Pre-Service Web-Based Modules </w:t>
      </w:r>
    </w:p>
    <w:p w14:paraId="13E9CD03" w14:textId="5C3D48B4" w:rsidR="00694B60" w:rsidRPr="00CA6A9D" w:rsidRDefault="00CA6A9D" w:rsidP="00E56125">
      <w:pPr>
        <w:spacing w:after="0" w:line="240" w:lineRule="auto"/>
        <w:jc w:val="center"/>
        <w:rPr>
          <w:b/>
          <w:bCs/>
          <w:sz w:val="32"/>
          <w:szCs w:val="32"/>
          <w:highlight w:val="yellow"/>
          <w:u w:val="single"/>
        </w:rPr>
      </w:pPr>
      <w:r w:rsidRPr="00CA6A9D">
        <w:rPr>
          <w:rFonts w:cstheme="minorHAnsi"/>
          <w:b/>
          <w:bCs/>
          <w:sz w:val="32"/>
          <w:szCs w:val="32"/>
        </w:rPr>
        <w:t>On-the-Job Application Activity Workbook</w:t>
      </w:r>
    </w:p>
    <w:p w14:paraId="3A334478" w14:textId="77777777" w:rsidR="00E56125" w:rsidRDefault="00E56125" w:rsidP="00E56125">
      <w:pPr>
        <w:spacing w:after="0" w:line="240" w:lineRule="auto"/>
        <w:rPr>
          <w:sz w:val="24"/>
          <w:szCs w:val="24"/>
          <w:highlight w:val="yellow"/>
        </w:rPr>
      </w:pPr>
    </w:p>
    <w:p w14:paraId="193B07FA" w14:textId="2B3EE0DE" w:rsidR="00A97AAC" w:rsidRPr="00CA6A9D" w:rsidRDefault="00A97AAC" w:rsidP="00CA6A9D">
      <w:pPr>
        <w:spacing w:after="0" w:line="240" w:lineRule="auto"/>
        <w:rPr>
          <w:sz w:val="24"/>
          <w:szCs w:val="24"/>
        </w:rPr>
      </w:pPr>
      <w:r w:rsidRPr="00CA6A9D">
        <w:rPr>
          <w:sz w:val="24"/>
          <w:szCs w:val="24"/>
        </w:rPr>
        <w:t>Welcome to</w:t>
      </w:r>
      <w:r w:rsidR="00CA6A9D" w:rsidRPr="00CA6A9D">
        <w:rPr>
          <w:sz w:val="24"/>
          <w:szCs w:val="24"/>
        </w:rPr>
        <w:t xml:space="preserve"> the</w:t>
      </w:r>
      <w:r w:rsidRPr="00CA6A9D">
        <w:rPr>
          <w:sz w:val="24"/>
          <w:szCs w:val="24"/>
        </w:rPr>
        <w:t xml:space="preserve"> </w:t>
      </w:r>
      <w:r w:rsidR="00CA6A9D" w:rsidRPr="00CA6A9D">
        <w:rPr>
          <w:rFonts w:cstheme="minorHAnsi"/>
          <w:sz w:val="24"/>
          <w:szCs w:val="24"/>
        </w:rPr>
        <w:t>Case Worker Pre-Service Web-Based Modules</w:t>
      </w:r>
      <w:r w:rsidR="00CA6A9D" w:rsidRPr="00CA6A9D">
        <w:rPr>
          <w:rFonts w:cstheme="minorHAnsi"/>
          <w:sz w:val="24"/>
          <w:szCs w:val="24"/>
        </w:rPr>
        <w:t>!</w:t>
      </w:r>
    </w:p>
    <w:p w14:paraId="16582908" w14:textId="77777777" w:rsidR="00E56125" w:rsidRDefault="00E56125" w:rsidP="00E56125">
      <w:pPr>
        <w:spacing w:after="0" w:line="240" w:lineRule="auto"/>
        <w:rPr>
          <w:sz w:val="24"/>
          <w:szCs w:val="24"/>
          <w:highlight w:val="yellow"/>
        </w:rPr>
      </w:pPr>
    </w:p>
    <w:p w14:paraId="35B41FD9" w14:textId="4785DBFF" w:rsidR="00CA6A9D" w:rsidRPr="00CA6A9D" w:rsidRDefault="00CA6A9D" w:rsidP="00CA6A9D">
      <w:pPr>
        <w:pStyle w:val="Default"/>
      </w:pPr>
      <w:r>
        <w:t xml:space="preserve">The Case Worker </w:t>
      </w:r>
      <w:r w:rsidRPr="00CA6A9D">
        <w:t xml:space="preserve">Pre-Service </w:t>
      </w:r>
      <w:r>
        <w:t xml:space="preserve">Web-Based </w:t>
      </w:r>
      <w:r w:rsidRPr="00CA6A9D">
        <w:t xml:space="preserve">training provides beginning knowledge and awareness of areas essential to child welfare practice, including knowledge of the scope and philosophical base of child protective services, the basic </w:t>
      </w:r>
      <w:proofErr w:type="gramStart"/>
      <w:r w:rsidRPr="00CA6A9D">
        <w:t>process</w:t>
      </w:r>
      <w:proofErr w:type="gramEnd"/>
      <w:r w:rsidRPr="00CA6A9D">
        <w:t xml:space="preserve"> and functions of providing child protective services, and an introduction to engagement, safety, </w:t>
      </w:r>
      <w:r>
        <w:t xml:space="preserve">child welfare practice model components, </w:t>
      </w:r>
      <w:r w:rsidRPr="00CA6A9D">
        <w:t>court, human behavior</w:t>
      </w:r>
      <w:r w:rsidR="005D3267">
        <w:t xml:space="preserve">, and Wisconsin </w:t>
      </w:r>
      <w:r w:rsidR="005D3267" w:rsidRPr="00CA6A9D">
        <w:rPr>
          <w:rFonts w:asciiTheme="minorHAnsi" w:hAnsiTheme="minorHAnsi" w:cstheme="minorHAnsi"/>
        </w:rPr>
        <w:t>standards and statutes</w:t>
      </w:r>
      <w:r w:rsidRPr="00CA6A9D">
        <w:t xml:space="preserve">. </w:t>
      </w:r>
    </w:p>
    <w:p w14:paraId="17C36E37" w14:textId="77777777" w:rsidR="00CA6A9D" w:rsidRDefault="00CA6A9D" w:rsidP="00CA6A9D">
      <w:pPr>
        <w:spacing w:after="0" w:line="240" w:lineRule="auto"/>
        <w:rPr>
          <w:sz w:val="24"/>
          <w:szCs w:val="24"/>
        </w:rPr>
      </w:pPr>
    </w:p>
    <w:p w14:paraId="63CC86FB" w14:textId="77777777" w:rsidR="00C45875" w:rsidRDefault="005D3267" w:rsidP="005D326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D42FD4">
        <w:rPr>
          <w:rFonts w:cstheme="minorHAnsi"/>
          <w:b/>
          <w:bCs/>
          <w:sz w:val="24"/>
          <w:szCs w:val="24"/>
        </w:rPr>
        <w:t>Case Worker Pre-Service Web-Based Modules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42FD4">
        <w:rPr>
          <w:rFonts w:cstheme="minorHAnsi"/>
          <w:b/>
          <w:bCs/>
          <w:sz w:val="24"/>
          <w:szCs w:val="24"/>
        </w:rPr>
        <w:t>On-the-Job Application Activity Workbook</w:t>
      </w:r>
      <w:r>
        <w:rPr>
          <w:rFonts w:cstheme="minorHAnsi"/>
          <w:sz w:val="24"/>
          <w:szCs w:val="24"/>
        </w:rPr>
        <w:t xml:space="preserve"> (“Pre-Service Workbook” for short) </w:t>
      </w:r>
      <w:r>
        <w:rPr>
          <w:rFonts w:cstheme="minorHAnsi"/>
          <w:sz w:val="24"/>
          <w:szCs w:val="24"/>
        </w:rPr>
        <w:t xml:space="preserve">was developed to serve as an aid to both the child welfare professional and their supervisor/coach as </w:t>
      </w:r>
      <w:r w:rsidR="00C45875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Pre-Service </w:t>
      </w:r>
      <w:r w:rsidR="00C45875">
        <w:rPr>
          <w:rFonts w:cstheme="minorHAnsi"/>
          <w:sz w:val="24"/>
          <w:szCs w:val="24"/>
        </w:rPr>
        <w:t xml:space="preserve">training </w:t>
      </w:r>
      <w:r>
        <w:rPr>
          <w:rFonts w:cstheme="minorHAnsi"/>
          <w:sz w:val="24"/>
          <w:szCs w:val="24"/>
        </w:rPr>
        <w:t>is completed.</w:t>
      </w:r>
      <w:r w:rsidR="00C45875">
        <w:rPr>
          <w:rFonts w:cstheme="minorHAnsi"/>
          <w:sz w:val="24"/>
          <w:szCs w:val="24"/>
        </w:rPr>
        <w:t xml:space="preserve"> </w:t>
      </w:r>
    </w:p>
    <w:p w14:paraId="51F721AA" w14:textId="77777777" w:rsidR="00C45875" w:rsidRDefault="00C45875" w:rsidP="005D326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F1F7B8" w14:textId="6D43F4A1" w:rsidR="00C45875" w:rsidRDefault="00C45875" w:rsidP="00C458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D42FD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Pre-Service Workbook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is broken into chapters by module and section.  </w:t>
      </w:r>
      <w:r>
        <w:rPr>
          <w:rFonts w:cstheme="minorHAnsi"/>
          <w:sz w:val="24"/>
          <w:szCs w:val="24"/>
        </w:rPr>
        <w:t xml:space="preserve">Each section summarizes that section’s learning objectives, themes, and key points to ground the agency supervisor/coach in the scope of content covered. </w:t>
      </w:r>
    </w:p>
    <w:p w14:paraId="77709387" w14:textId="77777777" w:rsidR="00C45875" w:rsidRDefault="00C45875" w:rsidP="00C458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4B4E6C" w14:textId="41E051E0" w:rsidR="00C45875" w:rsidRDefault="00C45875" w:rsidP="00C458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In addition, the </w:t>
      </w:r>
      <w:r w:rsidRPr="00D42FD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Pre-Service Workbook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>includes</w:t>
      </w:r>
      <w:r w:rsidRPr="002B0E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optional</w:t>
      </w:r>
      <w:r w:rsidRPr="002B0E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on-the job application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 activities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to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support the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learner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in applying th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e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knowledge </w:t>
      </w:r>
      <w:r w:rsidRPr="002B0EC1">
        <w:rPr>
          <w:rFonts w:cstheme="minorHAnsi"/>
          <w:sz w:val="24"/>
          <w:szCs w:val="24"/>
        </w:rPr>
        <w:t>acquired during the Pre-Service Module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to the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ir</w:t>
      </w:r>
      <w:r w:rsidRPr="00AC273B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child welfare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roles and responsibilities.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All activities are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optional and provided only to aid the child welfare professional and supervisor/coach in supporting transfer of learning from pre-service to the agency.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>The child welfare professional, with input from their supervisor/coach,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 xml:space="preserve"> may choose to complete all, some, or none of these activities or substitute in other activities.</w:t>
      </w:r>
    </w:p>
    <w:p w14:paraId="3820173C" w14:textId="77777777" w:rsidR="00C45875" w:rsidRPr="00C45875" w:rsidRDefault="00C45875" w:rsidP="00C458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C7E162" w14:textId="137640E7" w:rsidR="00C45875" w:rsidRDefault="00C45875" w:rsidP="00C458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Finally</w:t>
      </w:r>
      <w:r>
        <w:rPr>
          <w:rFonts w:cstheme="minorHAnsi"/>
          <w:sz w:val="24"/>
          <w:szCs w:val="24"/>
        </w:rPr>
        <w:t xml:space="preserve">, the </w:t>
      </w:r>
      <w:r w:rsidRPr="00D42FD4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Pre-Service Workbook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provides </w:t>
      </w:r>
      <w:r>
        <w:rPr>
          <w:rFonts w:cstheme="minorHAnsi"/>
          <w:sz w:val="24"/>
          <w:szCs w:val="24"/>
        </w:rPr>
        <w:t>resource information for some activities to support</w:t>
      </w:r>
      <w:r w:rsidRPr="002B0EC1">
        <w:rPr>
          <w:rFonts w:cstheme="minorHAnsi"/>
          <w:sz w:val="24"/>
          <w:szCs w:val="24"/>
        </w:rPr>
        <w:t xml:space="preserve"> post-activity supervisor/coach discussion</w:t>
      </w:r>
      <w:r>
        <w:rPr>
          <w:rFonts w:cstheme="minorHAnsi"/>
          <w:sz w:val="24"/>
          <w:szCs w:val="24"/>
        </w:rPr>
        <w:t>s</w:t>
      </w:r>
      <w:r w:rsidRPr="002B0EC1">
        <w:rPr>
          <w:rFonts w:cstheme="minorHAnsi"/>
          <w:sz w:val="24"/>
          <w:szCs w:val="24"/>
        </w:rPr>
        <w:t xml:space="preserve"> with the child welfare professional</w:t>
      </w:r>
      <w:r>
        <w:rPr>
          <w:rFonts w:cstheme="minorHAnsi"/>
          <w:sz w:val="24"/>
          <w:szCs w:val="24"/>
        </w:rPr>
        <w:t xml:space="preserve">. </w:t>
      </w:r>
    </w:p>
    <w:p w14:paraId="33FE1070" w14:textId="7F425A3D" w:rsidR="005D3267" w:rsidRPr="002B0EC1" w:rsidRDefault="005D3267" w:rsidP="005D326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202122"/>
          <w:sz w:val="24"/>
          <w:szCs w:val="24"/>
          <w:shd w:val="clear" w:color="auto" w:fill="FFFFFF"/>
        </w:rPr>
      </w:pPr>
    </w:p>
    <w:p w14:paraId="48F939E4" w14:textId="2F30E51A" w:rsidR="00E56125" w:rsidRPr="00CA6A9D" w:rsidRDefault="00E56125" w:rsidP="00E5612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A6A9D">
        <w:rPr>
          <w:rFonts w:cstheme="minorHAnsi"/>
          <w:b/>
          <w:bCs/>
          <w:sz w:val="24"/>
          <w:szCs w:val="24"/>
          <w:u w:val="single"/>
        </w:rPr>
        <w:t>Acknowledgements</w:t>
      </w:r>
    </w:p>
    <w:p w14:paraId="02243DB4" w14:textId="35DCC05C" w:rsidR="00E56125" w:rsidRPr="00CA6A9D" w:rsidRDefault="00F65AA6" w:rsidP="00E561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to all those who contributed to the development of the </w:t>
      </w:r>
      <w:r>
        <w:rPr>
          <w:rFonts w:cstheme="minorHAnsi"/>
          <w:sz w:val="24"/>
          <w:szCs w:val="24"/>
        </w:rPr>
        <w:t>optional</w:t>
      </w:r>
      <w:r w:rsidRPr="002B0E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on-the job application</w:t>
      </w:r>
      <w:r w:rsidRPr="002B0EC1">
        <w:rPr>
          <w:rFonts w:cstheme="minorHAnsi"/>
          <w:color w:val="202122"/>
          <w:sz w:val="24"/>
          <w:szCs w:val="24"/>
          <w:shd w:val="clear" w:color="auto" w:fill="FFFFFF"/>
        </w:rPr>
        <w:t> activities</w:t>
      </w:r>
      <w:r>
        <w:rPr>
          <w:rFonts w:cstheme="minorHAnsi"/>
          <w:color w:val="202122"/>
          <w:sz w:val="24"/>
          <w:szCs w:val="24"/>
          <w:shd w:val="clear" w:color="auto" w:fill="FFFFFF"/>
        </w:rPr>
        <w:t xml:space="preserve"> included throughout the Pre-Service Workbook:</w:t>
      </w:r>
    </w:p>
    <w:p w14:paraId="435FCF7F" w14:textId="77777777" w:rsidR="00E56125" w:rsidRPr="00CA6A9D" w:rsidRDefault="00E56125" w:rsidP="00E56125">
      <w:pPr>
        <w:spacing w:after="0" w:line="240" w:lineRule="auto"/>
        <w:rPr>
          <w:rFonts w:cstheme="minorHAnsi"/>
          <w:sz w:val="24"/>
          <w:szCs w:val="24"/>
        </w:rPr>
      </w:pPr>
    </w:p>
    <w:p w14:paraId="3BD066A4" w14:textId="77777777" w:rsidR="00F65AA6" w:rsidRDefault="00F65AA6" w:rsidP="00E561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County Supervisors and Managers:</w:t>
      </w:r>
    </w:p>
    <w:p w14:paraId="1F37B000" w14:textId="5A31993C" w:rsidR="00E56125" w:rsidRPr="00F65AA6" w:rsidRDefault="00E56125" w:rsidP="00F65AA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Nicole Fischer, </w:t>
      </w:r>
      <w:r w:rsidR="00F65AA6" w:rsidRPr="00F65AA6">
        <w:rPr>
          <w:rFonts w:cstheme="minorHAnsi"/>
          <w:sz w:val="24"/>
          <w:szCs w:val="24"/>
        </w:rPr>
        <w:t>DCF/</w:t>
      </w:r>
      <w:r w:rsidRPr="00F65AA6">
        <w:rPr>
          <w:rFonts w:cstheme="minorHAnsi"/>
          <w:sz w:val="24"/>
          <w:szCs w:val="24"/>
        </w:rPr>
        <w:t>D</w:t>
      </w:r>
      <w:r w:rsidR="00F65AA6" w:rsidRPr="00F65AA6">
        <w:rPr>
          <w:rFonts w:cstheme="minorHAnsi"/>
          <w:sz w:val="24"/>
          <w:szCs w:val="24"/>
        </w:rPr>
        <w:t>MCPS</w:t>
      </w:r>
      <w:r w:rsidRPr="00F65AA6">
        <w:rPr>
          <w:rFonts w:cstheme="minorHAnsi"/>
          <w:sz w:val="24"/>
          <w:szCs w:val="24"/>
        </w:rPr>
        <w:t xml:space="preserve"> </w:t>
      </w:r>
    </w:p>
    <w:p w14:paraId="3667B503" w14:textId="7E9E623F" w:rsidR="00E56125" w:rsidRPr="00F65AA6" w:rsidRDefault="00E56125" w:rsidP="00F65AA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Teresa Kovach, Portage County</w:t>
      </w:r>
      <w:r w:rsidR="00F65AA6" w:rsidRPr="00F65AA6">
        <w:rPr>
          <w:rFonts w:cstheme="minorHAnsi"/>
          <w:sz w:val="24"/>
          <w:szCs w:val="24"/>
        </w:rPr>
        <w:t xml:space="preserve"> </w:t>
      </w:r>
      <w:proofErr w:type="gramStart"/>
      <w:r w:rsidR="00F65AA6" w:rsidRPr="00F65AA6">
        <w:rPr>
          <w:rFonts w:cstheme="minorHAnsi"/>
          <w:sz w:val="24"/>
          <w:szCs w:val="24"/>
        </w:rPr>
        <w:t>Health</w:t>
      </w:r>
      <w:proofErr w:type="gramEnd"/>
      <w:r w:rsidR="00F65AA6" w:rsidRPr="00F65AA6">
        <w:rPr>
          <w:rFonts w:cstheme="minorHAnsi"/>
          <w:sz w:val="24"/>
          <w:szCs w:val="24"/>
        </w:rPr>
        <w:t xml:space="preserve"> and Human Services Department</w:t>
      </w:r>
    </w:p>
    <w:p w14:paraId="573A0C6E" w14:textId="0157F43C" w:rsidR="00E56125" w:rsidRPr="00F65AA6" w:rsidRDefault="00E56125" w:rsidP="00F65AA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Karla Kay, Sawyer County </w:t>
      </w:r>
      <w:proofErr w:type="gramStart"/>
      <w:r w:rsidR="00F65AA6" w:rsidRPr="00F65AA6">
        <w:rPr>
          <w:rFonts w:cstheme="minorHAnsi"/>
          <w:sz w:val="24"/>
          <w:szCs w:val="24"/>
        </w:rPr>
        <w:t>Health</w:t>
      </w:r>
      <w:proofErr w:type="gramEnd"/>
      <w:r w:rsidR="00F65AA6" w:rsidRPr="00F65AA6">
        <w:rPr>
          <w:rFonts w:cstheme="minorHAnsi"/>
          <w:sz w:val="24"/>
          <w:szCs w:val="24"/>
        </w:rPr>
        <w:t xml:space="preserve"> and Human Services</w:t>
      </w:r>
    </w:p>
    <w:p w14:paraId="57BE59DA" w14:textId="77777777" w:rsidR="00F65AA6" w:rsidRDefault="00F65AA6" w:rsidP="00E561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WCWPDS Staff:</w:t>
      </w:r>
    </w:p>
    <w:p w14:paraId="1DFBC847" w14:textId="77777777" w:rsid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Johanna Barkei </w:t>
      </w:r>
      <w:r w:rsidRPr="00F65AA6">
        <w:rPr>
          <w:rFonts w:cstheme="minorHAnsi"/>
          <w:sz w:val="24"/>
          <w:szCs w:val="24"/>
        </w:rPr>
        <w:tab/>
      </w:r>
      <w:r w:rsidRPr="00F65AA6">
        <w:rPr>
          <w:rFonts w:cstheme="minorHAnsi"/>
          <w:sz w:val="24"/>
          <w:szCs w:val="24"/>
        </w:rPr>
        <w:tab/>
      </w:r>
    </w:p>
    <w:p w14:paraId="68FBB7A4" w14:textId="65342EFF" w:rsidR="00E56125" w:rsidRPr="00F65AA6" w:rsidRDefault="00E56125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Micaela </w:t>
      </w:r>
      <w:proofErr w:type="spellStart"/>
      <w:r w:rsidRPr="00F65AA6">
        <w:rPr>
          <w:rFonts w:cstheme="minorHAnsi"/>
          <w:sz w:val="24"/>
          <w:szCs w:val="24"/>
        </w:rPr>
        <w:t>Broetzmann</w:t>
      </w:r>
      <w:proofErr w:type="spellEnd"/>
    </w:p>
    <w:p w14:paraId="76001350" w14:textId="77777777" w:rsid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Kelli Bowe</w:t>
      </w:r>
    </w:p>
    <w:p w14:paraId="1BC10D0F" w14:textId="7AF3CCAD" w:rsidR="00E56125" w:rsidRPr="00F65AA6" w:rsidRDefault="00E56125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Heather Halonie </w:t>
      </w:r>
    </w:p>
    <w:p w14:paraId="4C1180ED" w14:textId="77777777" w:rsidR="00F65AA6" w:rsidRP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 xml:space="preserve">Becki Hietpas </w:t>
      </w:r>
    </w:p>
    <w:p w14:paraId="581EC34D" w14:textId="2CF7B3D1" w:rsidR="00E56125" w:rsidRPr="00F65AA6" w:rsidRDefault="00E56125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lastRenderedPageBreak/>
        <w:t xml:space="preserve">Vicki Heling </w:t>
      </w:r>
    </w:p>
    <w:p w14:paraId="4120D30F" w14:textId="77777777" w:rsidR="00F65AA6" w:rsidRP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Colin Holden</w:t>
      </w:r>
    </w:p>
    <w:p w14:paraId="234DC336" w14:textId="77777777" w:rsidR="00F65AA6" w:rsidRP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Connie Koebke</w:t>
      </w:r>
    </w:p>
    <w:p w14:paraId="2AC74AB6" w14:textId="296D82DE" w:rsidR="00F65AA6" w:rsidRP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Pat Parker</w:t>
      </w:r>
    </w:p>
    <w:p w14:paraId="756D5871" w14:textId="42102514" w:rsidR="00F65AA6" w:rsidRPr="00F65AA6" w:rsidRDefault="00F65AA6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Amy Weber</w:t>
      </w:r>
    </w:p>
    <w:p w14:paraId="5A707E7E" w14:textId="77777777" w:rsidR="00E56125" w:rsidRPr="00F65AA6" w:rsidRDefault="00E56125" w:rsidP="00F65AA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65AA6">
        <w:rPr>
          <w:rFonts w:cstheme="minorHAnsi"/>
          <w:sz w:val="24"/>
          <w:szCs w:val="24"/>
        </w:rPr>
        <w:t>Richelle Zimmerman</w:t>
      </w:r>
    </w:p>
    <w:p w14:paraId="4CA58E4A" w14:textId="77777777" w:rsidR="00305534" w:rsidRPr="00CA6A9D" w:rsidRDefault="00305534" w:rsidP="00E56125">
      <w:pPr>
        <w:spacing w:after="0" w:line="240" w:lineRule="auto"/>
        <w:rPr>
          <w:rFonts w:cstheme="minorHAnsi"/>
          <w:sz w:val="24"/>
          <w:szCs w:val="24"/>
        </w:rPr>
      </w:pPr>
    </w:p>
    <w:sectPr w:rsidR="00305534" w:rsidRPr="00CA6A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32A9" w14:textId="77777777" w:rsidR="00D9205E" w:rsidRDefault="00D9205E" w:rsidP="000D37EB">
      <w:pPr>
        <w:spacing w:after="0" w:line="240" w:lineRule="auto"/>
      </w:pPr>
      <w:r>
        <w:separator/>
      </w:r>
    </w:p>
  </w:endnote>
  <w:endnote w:type="continuationSeparator" w:id="0">
    <w:p w14:paraId="786B9A0F" w14:textId="77777777" w:rsidR="00D9205E" w:rsidRDefault="00D9205E" w:rsidP="000D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13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6B770" w14:textId="78C1E695" w:rsidR="000D37EB" w:rsidRDefault="000D3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34F54" w14:textId="77777777" w:rsidR="000D37EB" w:rsidRDefault="000D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3B1A" w14:textId="77777777" w:rsidR="00D9205E" w:rsidRDefault="00D9205E" w:rsidP="000D37EB">
      <w:pPr>
        <w:spacing w:after="0" w:line="240" w:lineRule="auto"/>
      </w:pPr>
      <w:r>
        <w:separator/>
      </w:r>
    </w:p>
  </w:footnote>
  <w:footnote w:type="continuationSeparator" w:id="0">
    <w:p w14:paraId="1FC5F4A1" w14:textId="77777777" w:rsidR="00D9205E" w:rsidRDefault="00D9205E" w:rsidP="000D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BC"/>
    <w:multiLevelType w:val="hybridMultilevel"/>
    <w:tmpl w:val="FE9E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7C8C"/>
    <w:multiLevelType w:val="hybridMultilevel"/>
    <w:tmpl w:val="E56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526"/>
    <w:multiLevelType w:val="multilevel"/>
    <w:tmpl w:val="0BD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396011"/>
    <w:multiLevelType w:val="hybridMultilevel"/>
    <w:tmpl w:val="7996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2413A"/>
    <w:multiLevelType w:val="hybridMultilevel"/>
    <w:tmpl w:val="306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2F0F"/>
    <w:multiLevelType w:val="hybridMultilevel"/>
    <w:tmpl w:val="1C12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13E1"/>
    <w:multiLevelType w:val="hybridMultilevel"/>
    <w:tmpl w:val="BBCC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3374">
    <w:abstractNumId w:val="0"/>
  </w:num>
  <w:num w:numId="2" w16cid:durableId="118885893">
    <w:abstractNumId w:val="4"/>
  </w:num>
  <w:num w:numId="3" w16cid:durableId="1193373273">
    <w:abstractNumId w:val="2"/>
  </w:num>
  <w:num w:numId="4" w16cid:durableId="1508445974">
    <w:abstractNumId w:val="6"/>
  </w:num>
  <w:num w:numId="5" w16cid:durableId="1236667406">
    <w:abstractNumId w:val="1"/>
  </w:num>
  <w:num w:numId="6" w16cid:durableId="1442455649">
    <w:abstractNumId w:val="5"/>
  </w:num>
  <w:num w:numId="7" w16cid:durableId="175003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34"/>
    <w:rsid w:val="00017481"/>
    <w:rsid w:val="000D37EB"/>
    <w:rsid w:val="00223E6E"/>
    <w:rsid w:val="0028637D"/>
    <w:rsid w:val="002A795F"/>
    <w:rsid w:val="00305534"/>
    <w:rsid w:val="0031592E"/>
    <w:rsid w:val="003D16EE"/>
    <w:rsid w:val="003F6473"/>
    <w:rsid w:val="004C3324"/>
    <w:rsid w:val="0052672A"/>
    <w:rsid w:val="005D3267"/>
    <w:rsid w:val="005E6F9D"/>
    <w:rsid w:val="00674A34"/>
    <w:rsid w:val="00694B60"/>
    <w:rsid w:val="0069622F"/>
    <w:rsid w:val="007C1142"/>
    <w:rsid w:val="007F1104"/>
    <w:rsid w:val="00803EDE"/>
    <w:rsid w:val="00933194"/>
    <w:rsid w:val="00965692"/>
    <w:rsid w:val="009C7382"/>
    <w:rsid w:val="00A37C87"/>
    <w:rsid w:val="00A50E78"/>
    <w:rsid w:val="00A57924"/>
    <w:rsid w:val="00A97AAC"/>
    <w:rsid w:val="00C45875"/>
    <w:rsid w:val="00C90A06"/>
    <w:rsid w:val="00CA6A9D"/>
    <w:rsid w:val="00CB2834"/>
    <w:rsid w:val="00D013D5"/>
    <w:rsid w:val="00D35481"/>
    <w:rsid w:val="00D82584"/>
    <w:rsid w:val="00D87FFC"/>
    <w:rsid w:val="00D9205E"/>
    <w:rsid w:val="00DD3711"/>
    <w:rsid w:val="00DE7990"/>
    <w:rsid w:val="00E03C42"/>
    <w:rsid w:val="00E56125"/>
    <w:rsid w:val="00EC14C6"/>
    <w:rsid w:val="00F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F080"/>
  <w15:chartTrackingRefBased/>
  <w15:docId w15:val="{E9E1DBC5-6231-424A-B347-E78BBE8C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57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53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579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EB"/>
  </w:style>
  <w:style w:type="paragraph" w:styleId="Footer">
    <w:name w:val="footer"/>
    <w:basedOn w:val="Normal"/>
    <w:link w:val="FooterChar"/>
    <w:uiPriority w:val="99"/>
    <w:unhideWhenUsed/>
    <w:rsid w:val="000D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EB"/>
  </w:style>
  <w:style w:type="character" w:styleId="Hyperlink">
    <w:name w:val="Hyperlink"/>
    <w:basedOn w:val="DefaultParagraphFont"/>
    <w:uiPriority w:val="99"/>
    <w:semiHidden/>
    <w:unhideWhenUsed/>
    <w:rsid w:val="00D35481"/>
    <w:rPr>
      <w:color w:val="0000FF"/>
      <w:u w:val="single"/>
    </w:rPr>
  </w:style>
  <w:style w:type="paragraph" w:customStyle="1" w:styleId="Default">
    <w:name w:val="Default"/>
    <w:rsid w:val="00CA6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2</cp:revision>
  <dcterms:created xsi:type="dcterms:W3CDTF">2023-01-05T17:53:00Z</dcterms:created>
  <dcterms:modified xsi:type="dcterms:W3CDTF">2023-01-05T17:53:00Z</dcterms:modified>
</cp:coreProperties>
</file>